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#96b</w:t>
      </w:r>
      <w:r>
        <w:rPr>
          <w:rFonts w:ascii="Arial" w:hAnsi="Arial" w:cs="Arial"/>
          <w:b/>
          <w:sz w:val="22"/>
          <w:szCs w:val="22"/>
          <w:lang w:eastAsia="zh-CN"/>
        </w:rPr>
        <w:t>is</w:t>
      </w:r>
      <w:r>
        <w:rPr>
          <w:rFonts w:hint="eastAsia" w:ascii="Arial" w:hAnsi="Arial" w:cs="Arial"/>
          <w:b/>
          <w:sz w:val="22"/>
          <w:szCs w:val="22"/>
          <w:lang w:val="en-US" w:eastAsia="zh-CN"/>
        </w:rPr>
        <w:t xml:space="preserve">                                        </w:t>
      </w:r>
      <w:bookmarkStart w:id="12" w:name="_GoBack"/>
      <w:bookmarkEnd w:id="12"/>
      <w:r>
        <w:rPr>
          <w:rFonts w:ascii="Arial" w:hAnsi="Arial" w:cs="Arial"/>
          <w:b/>
          <w:sz w:val="22"/>
          <w:szCs w:val="22"/>
        </w:rPr>
        <w:t>R1-1904154</w:t>
      </w:r>
    </w:p>
    <w:p>
      <w:pPr>
        <w:tabs>
          <w:tab w:val="right" w:pos="9630"/>
        </w:tabs>
        <w:spacing w:after="0"/>
        <w:rPr>
          <w:rFonts w:ascii="Arial" w:hAnsi="Arial" w:cs="Arial"/>
          <w:b/>
          <w:sz w:val="22"/>
          <w:szCs w:val="22"/>
        </w:rPr>
      </w:pPr>
      <w:r>
        <w:rPr>
          <w:rFonts w:hint="eastAsia" w:ascii="Arial" w:hAnsi="Arial" w:cs="Arial"/>
          <w:b/>
          <w:sz w:val="22"/>
          <w:szCs w:val="22"/>
          <w:lang w:eastAsia="zh-CN"/>
        </w:rPr>
        <w:t>Xi</w:t>
      </w:r>
      <w:r>
        <w:rPr>
          <w:rFonts w:ascii="Arial" w:hAnsi="Arial" w:cs="Arial"/>
          <w:b/>
          <w:sz w:val="22"/>
          <w:szCs w:val="22"/>
          <w:lang w:eastAsia="zh-CN"/>
        </w:rPr>
        <w:t>’</w:t>
      </w:r>
      <w:r>
        <w:rPr>
          <w:rFonts w:hint="eastAsia" w:ascii="Arial" w:hAnsi="Arial" w:cs="Arial"/>
          <w:b/>
          <w:sz w:val="22"/>
          <w:szCs w:val="22"/>
          <w:lang w:eastAsia="zh-CN"/>
        </w:rPr>
        <w:t>an</w:t>
      </w:r>
      <w:r>
        <w:rPr>
          <w:rFonts w:ascii="Arial" w:hAnsi="Arial" w:cs="Arial"/>
          <w:b/>
          <w:sz w:val="22"/>
          <w:szCs w:val="22"/>
        </w:rPr>
        <w:t xml:space="preserve">, </w:t>
      </w:r>
      <w:r>
        <w:rPr>
          <w:rFonts w:hint="eastAsia" w:ascii="Arial" w:hAnsi="Arial" w:cs="Arial"/>
          <w:b/>
          <w:sz w:val="22"/>
          <w:szCs w:val="22"/>
          <w:lang w:eastAsia="zh-CN"/>
        </w:rPr>
        <w:t>China, 8</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12</w:t>
      </w:r>
      <w:r>
        <w:rPr>
          <w:rFonts w:hint="eastAsia" w:ascii="Arial" w:hAnsi="Arial" w:cs="Arial"/>
          <w:b/>
          <w:sz w:val="22"/>
          <w:szCs w:val="22"/>
          <w:vertAlign w:val="superscript"/>
          <w:lang w:eastAsia="zh-CN"/>
        </w:rPr>
        <w:t xml:space="preserve">th </w:t>
      </w:r>
      <w:r>
        <w:rPr>
          <w:rFonts w:hint="eastAsia" w:ascii="Arial" w:hAnsi="Arial" w:cs="Arial"/>
          <w:b/>
          <w:sz w:val="22"/>
          <w:szCs w:val="22"/>
          <w:lang w:eastAsia="zh-CN"/>
        </w:rPr>
        <w:t>April,</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cross-carrier scheduling with different numerologies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hint="eastAsia"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During </w:t>
      </w:r>
      <w:r>
        <w:rPr>
          <w:lang w:eastAsia="zh-CN"/>
        </w:rPr>
        <w:t>RAN1#96</w:t>
      </w:r>
      <w:r>
        <w:rPr>
          <w:rFonts w:hint="eastAsia"/>
          <w:lang w:eastAsia="zh-CN"/>
        </w:rPr>
        <w:t>, companies have reached a consensus on how to determine the BD/CCE budget in case of cross-carrier scheduling with different numerologies</w:t>
      </w:r>
      <w:r>
        <w:rPr>
          <w:lang w:eastAsia="zh-CN"/>
        </w:rPr>
        <w:t xml:space="preserve"> </w:t>
      </w:r>
      <w:r>
        <w:rPr>
          <w:lang w:eastAsia="zh-CN"/>
        </w:rPr>
        <w:fldChar w:fldCharType="begin"/>
      </w:r>
      <w:r>
        <w:rPr>
          <w:lang w:eastAsia="zh-CN"/>
        </w:rPr>
        <w:instrText xml:space="preserve"> REF _Ref16633 \n \h </w:instrText>
      </w:r>
      <w:r>
        <w:rPr>
          <w:lang w:eastAsia="zh-CN"/>
        </w:rPr>
        <w:fldChar w:fldCharType="separate"/>
      </w:r>
      <w:r>
        <w:rPr>
          <w:lang w:eastAsia="zh-CN"/>
        </w:rPr>
        <w:t>[1]</w:t>
      </w:r>
      <w:r>
        <w:rPr>
          <w:lang w:eastAsia="zh-CN"/>
        </w:rPr>
        <w:fldChar w:fldCharType="end"/>
      </w:r>
      <w:r>
        <w:rPr>
          <w:rFonts w:hint="eastAsia"/>
          <w:lang w:eastAsia="zh-CN"/>
        </w:rPr>
        <w:t>. Basically, the limit of BDs/CCEs (per slot in the scheduling CC) for the scheduled CC is determined based on the numerology of the scheduling CC.</w:t>
      </w: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0" w:after="0" w:line="240" w:lineRule="auto"/>
              <w:rPr>
                <w:rFonts w:ascii="New York" w:hAnsi="New York"/>
              </w:rPr>
            </w:pPr>
            <w:r>
              <w:rPr>
                <w:rFonts w:ascii="New York" w:hAnsi="New York"/>
                <w:highlight w:val="green"/>
              </w:rPr>
              <w:t>Agreements</w:t>
            </w:r>
            <w:r>
              <w:rPr>
                <w:rFonts w:ascii="New York" w:hAnsi="New York"/>
              </w:rPr>
              <w:t>:</w:t>
            </w:r>
          </w:p>
          <w:p>
            <w:pPr>
              <w:numPr>
                <w:ilvl w:val="0"/>
                <w:numId w:val="9"/>
              </w:numPr>
              <w:spacing w:before="0" w:after="0" w:line="240" w:lineRule="auto"/>
              <w:rPr>
                <w:rFonts w:ascii="New York" w:hAnsi="New York"/>
              </w:rPr>
            </w:pPr>
            <w:r>
              <w:rPr>
                <w:rFonts w:ascii="New York" w:hAnsi="New York"/>
              </w:rPr>
              <w:t>The limit of BDs/CCEs (per slot in the scheduling CC) for the scheduled CC is determined based on the numerology of the scheduling CC.</w:t>
            </w:r>
          </w:p>
          <w:p>
            <w:pPr>
              <w:numPr>
                <w:ilvl w:val="1"/>
                <w:numId w:val="9"/>
              </w:numPr>
              <w:spacing w:before="0" w:after="0" w:line="240" w:lineRule="auto"/>
              <w:rPr>
                <w:rFonts w:ascii="New York" w:hAnsi="New York"/>
                <w:lang w:eastAsia="zh-CN"/>
              </w:rPr>
            </w:pPr>
            <w:r>
              <w:rPr>
                <w:rFonts w:hint="eastAsia" w:ascii="New York" w:hAnsi="New York"/>
              </w:rPr>
              <w:t>C</w:t>
            </w:r>
            <w:r>
              <w:rPr>
                <w:rFonts w:ascii="New York" w:hAnsi="New York"/>
              </w:rPr>
              <w:t>hange the definition of N</w:t>
            </w:r>
            <w:r>
              <w:rPr>
                <w:rFonts w:ascii="New York" w:hAnsi="New York"/>
                <w:vertAlign w:val="subscript"/>
              </w:rPr>
              <w:t>cells</w:t>
            </w:r>
            <w:r>
              <w:rPr>
                <w:rFonts w:ascii="New York" w:hAnsi="New York"/>
                <w:vertAlign w:val="superscript"/>
              </w:rPr>
              <w:t>DL,</w:t>
            </w:r>
            <w:r>
              <w:rPr>
                <w:rFonts w:ascii="New York" w:hAnsi="New York"/>
                <w:vertAlign w:val="superscript"/>
              </w:rPr>
              <w:sym w:font="Symbol" w:char="F06D"/>
            </w:r>
            <w:r>
              <w:rPr>
                <w:rFonts w:ascii="New York" w:hAnsi="New York"/>
              </w:rPr>
              <w:t xml:space="preserve"> </w:t>
            </w:r>
            <w:r>
              <w:rPr>
                <w:rFonts w:ascii="New York" w:hAnsi="New York"/>
              </w:rPr>
              <w:fldChar w:fldCharType="begin"/>
            </w:r>
            <w:r>
              <w:rPr>
                <w:rFonts w:ascii="New York" w:hAnsi="New York"/>
              </w:rPr>
              <w:instrText xml:space="preserve"> QUOTE </w:instrText>
            </w:r>
            <w:r>
              <w:rPr>
                <w:rFonts w:ascii="Times New Roman" w:hAnsi="Times New Roman"/>
              </w:rPr>
              <w:pict>
                <v:shape id="_x0000_i1025" o:spt="75" type="#_x0000_t75" style="height:15.9pt;width:26.0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8DF&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766&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23&quot;/&gt;&lt;wsp:rsid wsp:val=&quot;00006C6D&quot;/&gt;&lt;wsp:rsid wsp:val=&quot;00006ECD&quot;/&gt;&lt;wsp:rsid wsp:val=&quot;00006F9F&quot;/&gt;&lt;wsp:rsid wsp:val=&quot;000072FD&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F&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F1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BF3&quot;/&gt;&lt;wsp:rsid wsp:val=&quot;00020CBB&quot;/&gt;&lt;wsp:rsid wsp:val=&quot;00020DDD&quot;/&gt;&lt;wsp:rsid wsp:val=&quot;00021298&quot;/&gt;&lt;wsp:rsid wsp:val=&quot;00021350&quot;/&gt;&lt;wsp:rsid wsp:val=&quot;00021677&quot;/&gt;&lt;wsp:rsid wsp:val=&quot;000216B9&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0D6&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AC1&quot;/&gt;&lt;wsp:rsid wsp:val=&quot;00025AF2&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0E&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5&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0C5&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3DC&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9D2&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1D&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648&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CF3&quot;/&gt;&lt;wsp:rsid wsp:val=&quot;00071DD1&quot;/&gt;&lt;wsp:rsid wsp:val=&quot;00071FF8&quot;/&gt;&lt;wsp:rsid wsp:val=&quot;000720F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045&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EB&quot;/&gt;&lt;wsp:rsid wsp:val=&quot;000744F8&quot;/&gt;&lt;wsp:rsid wsp:val=&quot;0007455F&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61&quot;/&gt;&lt;wsp:rsid wsp:val=&quot;0007698F&quot;/&gt;&lt;wsp:rsid wsp:val=&quot;00076A3B&quot;/&gt;&lt;wsp:rsid wsp:val=&quot;00076C93&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0C&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8A2&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8D&quot;/&gt;&lt;wsp:rsid wsp:val=&quot;000927B5&quot;/&gt;&lt;wsp:rsid wsp:val=&quot;000928E0&quot;/&gt;&lt;wsp:rsid wsp:val=&quot;00092BBA&quot;/&gt;&lt;wsp:rsid wsp:val=&quot;00092CB1&quot;/&gt;&lt;wsp:rsid wsp:val=&quot;00092D27&quot;/&gt;&lt;wsp:rsid wsp:val=&quot;00092D73&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99&quot;/&gt;&lt;wsp:rsid wsp:val=&quot;000A00CB&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3F6&quot;/&gt;&lt;wsp:rsid wsp:val=&quot;000A1458&quot;/&gt;&lt;wsp:rsid wsp:val=&quot;000A1472&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DDD&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1E60&quot;/&gt;&lt;wsp:rsid wsp:val=&quot;000B223B&quot;/&gt;&lt;wsp:rsid wsp:val=&quot;000B22ED&quot;/&gt;&lt;wsp:rsid wsp:val=&quot;000B249C&quot;/&gt;&lt;wsp:rsid wsp:val=&quot;000B252A&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60&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19&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17&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3A1&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24D&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D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C81&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3C0&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42&quot;/&gt;&lt;wsp:rsid wsp:val=&quot;000F057D&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6A&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9A7&quot;/&gt;&lt;wsp:rsid wsp:val=&quot;000F6BCC&quot;/&gt;&lt;wsp:rsid wsp:val=&quot;000F6C46&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4FF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59&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37D&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2EC&quot;/&gt;&lt;wsp:rsid wsp:val=&quot;0011532B&quot;/&gt;&lt;wsp:rsid wsp:val=&quot;001154CC&quot;/&gt;&lt;wsp:rsid wsp:val=&quot;001157D7&quot;/&gt;&lt;wsp:rsid wsp:val=&quot;001157E5&quot;/&gt;&lt;wsp:rsid wsp:val=&quot;001158E8&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CB4&quot;/&gt;&lt;wsp:rsid wsp:val=&quot;00120185&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7D9&quot;/&gt;&lt;wsp:rsid wsp:val=&quot;00124D21&quot;/&gt;&lt;wsp:rsid wsp:val=&quot;00124D4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361&quot;/&gt;&lt;wsp:rsid wsp:val=&quot;001324E9&quot;/&gt;&lt;wsp:rsid wsp:val=&quot;001325EE&quot;/&gt;&lt;wsp:rsid wsp:val=&quot;00132821&quot;/&gt;&lt;wsp:rsid wsp:val=&quot;00132881&quot;/&gt;&lt;wsp:rsid wsp:val=&quot;0013288E&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C9&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49&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180&quot;/&gt;&lt;wsp:rsid wsp:val=&quot;0014724E&quot;/&gt;&lt;wsp:rsid wsp:val=&quot;0014730C&quot;/&gt;&lt;wsp:rsid wsp:val=&quot;00147321&quot;/&gt;&lt;wsp:rsid wsp:val=&quot;00147355&quot;/&gt;&lt;wsp:rsid wsp:val=&quot;00147540&quot;/&gt;&lt;wsp:rsid wsp:val=&quot;00147695&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32F&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1C&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3D7&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AD4&quot;/&gt;&lt;wsp:rsid wsp:val=&quot;00164E6A&quot;/&gt;&lt;wsp:rsid wsp:val=&quot;00165089&quot;/&gt;&lt;wsp:rsid wsp:val=&quot;00165371&quot;/&gt;&lt;wsp:rsid wsp:val=&quot;0016541C&quot;/&gt;&lt;wsp:rsid wsp:val=&quot;0016543C&quot;/&gt;&lt;wsp:rsid wsp:val=&quot;001654E7&quot;/&gt;&lt;wsp:rsid wsp:val=&quot;001656AF&quot;/&gt;&lt;wsp:rsid wsp:val=&quot;00165748&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B8C&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12&quot;/&gt;&lt;wsp:rsid wsp:val=&quot;00176B06&quot;/&gt;&lt;wsp:rsid wsp:val=&quot;00176DB0&quot;/&gt;&lt;wsp:rsid wsp:val=&quot;00176DB3&quot;/&gt;&lt;wsp:rsid wsp:val=&quot;00176FA8&quot;/&gt;&lt;wsp:rsid wsp:val=&quot;00177132&quot;/&gt;&lt;wsp:rsid wsp:val=&quot;00177341&quot;/&gt;&lt;wsp:rsid wsp:val=&quot;00177417&quot;/&gt;&lt;wsp:rsid wsp:val=&quot;00177443&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48&quot;/&gt;&lt;wsp:rsid wsp:val=&quot;001871C1&quot;/&gt;&lt;wsp:rsid wsp:val=&quot;001872CD&quot;/&gt;&lt;wsp:rsid wsp:val=&quot;001874DA&quot;/&gt;&lt;wsp:rsid wsp:val=&quot;00187898&quot;/&gt;&lt;wsp:rsid wsp:val=&quot;00187A0E&quot;/&gt;&lt;wsp:rsid wsp:val=&quot;00187B90&quot;/&gt;&lt;wsp:rsid wsp:val=&quot;00187BB3&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901&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1E3&quot;/&gt;&lt;wsp:rsid wsp:val=&quot;0019428B&quot;/&gt;&lt;wsp:rsid wsp:val=&quot;0019465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5F6&quot;/&gt;&lt;wsp:rsid wsp:val=&quot;00196600&quot;/&gt;&lt;wsp:rsid wsp:val=&quot;00196922&quot;/&gt;&lt;wsp:rsid wsp:val=&quot;00196B8C&quot;/&gt;&lt;wsp:rsid wsp:val=&quot;00196BAD&quot;/&gt;&lt;wsp:rsid wsp:val=&quot;00196D13&quot;/&gt;&lt;wsp:rsid wsp:val=&quot;0019724A&quot;/&gt;&lt;wsp:rsid wsp:val=&quot;0019736D&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97EEA&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DA1&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06&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1F25&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58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EA6&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D53&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989&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BB5&quot;/&gt;&lt;wsp:rsid wsp:val=&quot;001D515D&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6CD&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C8&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9CF&quot;/&gt;&lt;wsp:rsid wsp:val=&quot;001F3A5E&quot;/&gt;&lt;wsp:rsid wsp:val=&quot;001F3BDF&quot;/&gt;&lt;wsp:rsid wsp:val=&quot;001F3D85&quot;/&gt;&lt;wsp:rsid wsp:val=&quot;001F42B4&quot;/&gt;&lt;wsp:rsid wsp:val=&quot;001F43E7&quot;/&gt;&lt;wsp:rsid wsp:val=&quot;001F4466&quot;/&gt;&lt;wsp:rsid wsp:val=&quot;001F448D&quot;/&gt;&lt;wsp:rsid wsp:val=&quot;001F44EB&quot;/&gt;&lt;wsp:rsid wsp:val=&quot;001F45D3&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C9F&quot;/&gt;&lt;wsp:rsid wsp:val=&quot;001F7DB8&quot;/&gt;&lt;wsp:rsid wsp:val=&quot;001F7DBC&quot;/&gt;&lt;wsp:rsid wsp:val=&quot;001F7E1F&quot;/&gt;&lt;wsp:rsid wsp:val=&quot;001F7E75&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70B&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1&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81&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47&quot;/&gt;&lt;wsp:rsid wsp:val=&quot;00217F6D&quot;/&gt;&lt;wsp:rsid wsp:val=&quot;0022013C&quot;/&gt;&lt;wsp:rsid wsp:val=&quot;00220150&quot;/&gt;&lt;wsp:rsid wsp:val=&quot;00220230&quot;/&gt;&lt;wsp:rsid wsp:val=&quot;00220279&quot;/&gt;&lt;wsp:rsid wsp:val=&quot;00220303&quot;/&gt;&lt;wsp:rsid wsp:val=&quot;00220421&quot;/&gt;&lt;wsp:rsid wsp:val=&quot;002207BF&quot;/&gt;&lt;wsp:rsid wsp:val=&quot;00220AE4&quot;/&gt;&lt;wsp:rsid wsp:val=&quot;00220BC4&quot;/&gt;&lt;wsp:rsid wsp:val=&quot;00220BD9&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F40&quot;/&gt;&lt;wsp:rsid wsp:val=&quot;00222F77&quot;/&gt;&lt;wsp:rsid wsp:val=&quot;00223124&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11D&quot;/&gt;&lt;wsp:rsid wsp:val=&quot;002262E4&quot;/&gt;&lt;wsp:rsid wsp:val=&quot;00226669&quot;/&gt;&lt;wsp:rsid wsp:val=&quot;0022682B&quot;/&gt;&lt;wsp:rsid wsp:val=&quot;00226832&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9C&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C1&quot;/&gt;&lt;wsp:rsid wsp:val=&quot;0023464D&quot;/&gt;&lt;wsp:rsid wsp:val=&quot;002346D6&quot;/&gt;&lt;wsp:rsid wsp:val=&quot;00234A24&quot;/&gt;&lt;wsp:rsid wsp:val=&quot;00234BA8&quot;/&gt;&lt;wsp:rsid wsp:val=&quot;00234C05&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81&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A55&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6A&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1F&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5ED0&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99A&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DFE&quot;/&gt;&lt;wsp:rsid wsp:val=&quot;00270EBC&quot;/&gt;&lt;wsp:rsid wsp:val=&quot;00271262&quot;/&gt;&lt;wsp:rsid wsp:val=&quot;002712C8&quot;/&gt;&lt;wsp:rsid wsp:val=&quot;00271351&quot;/&gt;&lt;wsp:rsid wsp:val=&quot;00271665&quot;/&gt;&lt;wsp:rsid wsp:val=&quot;002718DC&quot;/&gt;&lt;wsp:rsid wsp:val=&quot;00271E35&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A3&quot;/&gt;&lt;wsp:rsid wsp:val=&quot;002745D1&quot;/&gt;&lt;wsp:rsid wsp:val=&quot;00274610&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4B4&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3F2&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A8&quot;/&gt;&lt;wsp:rsid wsp:val=&quot;0029042B&quot;/&gt;&lt;wsp:rsid wsp:val=&quot;002904C8&quot;/&gt;&lt;wsp:rsid wsp:val=&quot;00290572&quot;/&gt;&lt;wsp:rsid wsp:val=&quot;00290768&quot;/&gt;&lt;wsp:rsid wsp:val=&quot;002909E7&quot;/&gt;&lt;wsp:rsid wsp:val=&quot;00290A13&quot;/&gt;&lt;wsp:rsid wsp:val=&quot;00290A43&quot;/&gt;&lt;wsp:rsid wsp:val=&quot;00290CD8&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7&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368&quot;/&gt;&lt;wsp:rsid wsp:val=&quot;002B247F&quot;/&gt;&lt;wsp:rsid wsp:val=&quot;002B25A6&quot;/&gt;&lt;wsp:rsid wsp:val=&quot;002B273C&quot;/&gt;&lt;wsp:rsid wsp:val=&quot;002B2896&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62&quot;/&gt;&lt;wsp:rsid wsp:val=&quot;002D1335&quot;/&gt;&lt;wsp:rsid wsp:val=&quot;002D1385&quot;/&gt;&lt;wsp:rsid wsp:val=&quot;002D15B5&quot;/&gt;&lt;wsp:rsid wsp:val=&quot;002D18A3&quot;/&gt;&lt;wsp:rsid wsp:val=&quot;002D1935&quot;/&gt;&lt;wsp:rsid wsp:val=&quot;002D1A36&quot;/&gt;&lt;wsp:rsid wsp:val=&quot;002D1D14&quot;/&gt;&lt;wsp:rsid wsp:val=&quot;002D1E4A&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C9&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62B&quot;/&gt;&lt;wsp:rsid wsp:val=&quot;002D47BF&quot;/&gt;&lt;wsp:rsid wsp:val=&quot;002D47D6&quot;/&gt;&lt;wsp:rsid wsp:val=&quot;002D4A40&quot;/&gt;&lt;wsp:rsid wsp:val=&quot;002D4B52&quot;/&gt;&lt;wsp:rsid wsp:val=&quot;002D4B73&quot;/&gt;&lt;wsp:rsid wsp:val=&quot;002D4BA5&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070&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984&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439&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5BC&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B51&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D7&quot;/&gt;&lt;wsp:rsid wsp:val=&quot;002F7FD9&quot;/&gt;&lt;wsp:rsid wsp:val=&quot;003001F7&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AB&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396&quot;/&gt;&lt;wsp:rsid wsp:val=&quot;00306550&quot;/&gt;&lt;wsp:rsid wsp:val=&quot;0030655E&quot;/&gt;&lt;wsp:rsid wsp:val=&quot;00306982&quot;/&gt;&lt;wsp:rsid wsp:val=&quot;003069F0&quot;/&gt;&lt;wsp:rsid wsp:val=&quot;00306BF6&quot;/&gt;&lt;wsp:rsid wsp:val=&quot;00306E10&quot;/&gt;&lt;wsp:rsid wsp:val=&quot;00306E8E&quot;/&gt;&lt;wsp:rsid wsp:val=&quot;00306FBB&quot;/&gt;&lt;wsp:rsid wsp:val=&quot;003073E5&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CB&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BF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32&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14&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0F35&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43&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4D&quot;/&gt;&lt;wsp:rsid wsp:val=&quot;003652E0&quot;/&gt;&lt;wsp:rsid wsp:val=&quot;00365805&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446&quot;/&gt;&lt;wsp:rsid wsp:val=&quot;0036661F&quot;/&gt;&lt;wsp:rsid wsp:val=&quot;00366659&quot;/&gt;&lt;wsp:rsid wsp:val=&quot;00366845&quot;/&gt;&lt;wsp:rsid wsp:val=&quot;0036689F&quot;/&gt;&lt;wsp:rsid wsp:val=&quot;00366A3E&quot;/&gt;&lt;wsp:rsid wsp:val=&quot;00366B80&quot;/&gt;&lt;wsp:rsid wsp:val=&quot;00366EAA&quot;/&gt;&lt;wsp:rsid wsp:val=&quot;00366FE1&quot;/&gt;&lt;wsp:rsid wsp:val=&quot;003674E8&quot;/&gt;&lt;wsp:rsid wsp:val=&quot;003676C5&quot;/&gt;&lt;wsp:rsid wsp:val=&quot;0036787A&quot;/&gt;&lt;wsp:rsid wsp:val=&quot;003678B1&quot;/&gt;&lt;wsp:rsid wsp:val=&quot;00367BD7&quot;/&gt;&lt;wsp:rsid wsp:val=&quot;00367EE3&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39B&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0DC&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26&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1FE&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CC5&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5A&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096&quot;/&gt;&lt;wsp:rsid wsp:val=&quot;003942BB&quot;/&gt;&lt;wsp:rsid wsp:val=&quot;0039455D&quot;/&gt;&lt;wsp:rsid wsp:val=&quot;003945F0&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36&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BC1&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7D5&quot;/&gt;&lt;wsp:rsid wsp:val=&quot;003A680F&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DF4&quot;/&gt;&lt;wsp:rsid wsp:val=&quot;003B0FBB&quot;/&gt;&lt;wsp:rsid wsp:val=&quot;003B0FE7&quot;/&gt;&lt;wsp:rsid wsp:val=&quot;003B125B&quot;/&gt;&lt;wsp:rsid wsp:val=&quot;003B12EC&quot;/&gt;&lt;wsp:rsid wsp:val=&quot;003B1303&quot;/&gt;&lt;wsp:rsid wsp:val=&quot;003B1527&quot;/&gt;&lt;wsp:rsid wsp:val=&quot;003B1553&quot;/&gt;&lt;wsp:rsid wsp:val=&quot;003B1681&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88&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84&quot;/&gt;&lt;wsp:rsid wsp:val=&quot;003C0BBF&quot;/&gt;&lt;wsp:rsid wsp:val=&quot;003C0F7F&quot;/&gt;&lt;wsp:rsid wsp:val=&quot;003C1280&quot;/&gt;&lt;wsp:rsid wsp:val=&quot;003C1352&quot;/&gt;&lt;wsp:rsid wsp:val=&quot;003C1390&quot;/&gt;&lt;wsp:rsid wsp:val=&quot;003C16A8&quot;/&gt;&lt;wsp:rsid wsp:val=&quot;003C16DE&quot;/&gt;&lt;wsp:rsid wsp:val=&quot;003C177E&quot;/&gt;&lt;wsp:rsid wsp:val=&quot;003C1834&quot;/&gt;&lt;wsp:rsid wsp:val=&quot;003C1852&quot;/&gt;&lt;wsp:rsid wsp:val=&quot;003C195D&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A34&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CCA&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E67&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542&quot;/&gt;&lt;wsp:rsid wsp:val=&quot;003E4590&quot;/&gt;&lt;wsp:rsid wsp:val=&quot;003E4610&quot;/&gt;&lt;wsp:rsid wsp:val=&quot;003E478C&quot;/&gt;&lt;wsp:rsid wsp:val=&quot;003E4B6B&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874&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3F56&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84&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DA9&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B75&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6D9&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897&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509&quot;/&gt;&lt;wsp:rsid wsp:val=&quot;004328B1&quot;/&gt;&lt;wsp:rsid wsp:val=&quot;004328D3&quot;/&gt;&lt;wsp:rsid wsp:val=&quot;00432AA3&quot;/&gt;&lt;wsp:rsid wsp:val=&quot;00432E9C&quot;/&gt;&lt;wsp:rsid wsp:val=&quot;00432ECB&quot;/&gt;&lt;wsp:rsid wsp:val=&quot;004331A8&quot;/&gt;&lt;wsp:rsid wsp:val=&quot;004331EA&quot;/&gt;&lt;wsp:rsid wsp:val=&quot;0043329A&quot;/&gt;&lt;wsp:rsid wsp:val=&quot;0043345C&quot;/&gt;&lt;wsp:rsid wsp:val=&quot;0043351B&quot;/&gt;&lt;wsp:rsid wsp:val=&quot;00433767&quot;/&gt;&lt;wsp:rsid wsp:val=&quot;004339BA&quot;/&gt;&lt;wsp:rsid wsp:val=&quot;00433CAB&quot;/&gt;&lt;wsp:rsid wsp:val=&quot;00433D60&quot;/&gt;&lt;wsp:rsid wsp:val=&quot;00433E6F&quot;/&gt;&lt;wsp:rsid wsp:val=&quot;0043404C&quot;/&gt;&lt;wsp:rsid wsp:val=&quot;004343C1&quot;/&gt;&lt;wsp:rsid wsp:val=&quot;0043448D&quot;/&gt;&lt;wsp:rsid wsp:val=&quot;0043492C&quot;/&gt;&lt;wsp:rsid wsp:val=&quot;00434AFF&quot;/&gt;&lt;wsp:rsid wsp:val=&quot;00434BBF&quot;/&gt;&lt;wsp:rsid wsp:val=&quot;00434E2E&quot;/&gt;&lt;wsp:rsid wsp:val=&quot;00434E3D&quot;/&gt;&lt;wsp:rsid wsp:val=&quot;00435031&quot;/&gt;&lt;wsp:rsid wsp:val=&quot;0043535B&quot;/&gt;&lt;wsp:rsid wsp:val=&quot;004353AD&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F6&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120&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56B&quot;/&gt;&lt;wsp:rsid wsp:val=&quot;0045366F&quot;/&gt;&lt;wsp:rsid wsp:val=&quot;00453AAA&quot;/&gt;&lt;wsp:rsid wsp:val=&quot;00454510&quot;/&gt;&lt;wsp:rsid wsp:val=&quot;00454649&quot;/&gt;&lt;wsp:rsid wsp:val=&quot;004546B5&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37E&quot;/&gt;&lt;wsp:rsid wsp:val=&quot;00465434&quot;/&gt;&lt;wsp:rsid wsp:val=&quot;0046547F&quot;/&gt;&lt;wsp:rsid wsp:val=&quot;0046571E&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B03&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731&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5F4&quot;/&gt;&lt;wsp:rsid wsp:val=&quot;00476766&quot;/&gt;&lt;wsp:rsid wsp:val=&quot;00476AF2&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F4&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78B&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10F&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CDA&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17D&quot;/&gt;&lt;wsp:rsid wsp:val=&quot;004A23CD&quot;/&gt;&lt;wsp:rsid wsp:val=&quot;004A2576&quot;/&gt;&lt;wsp:rsid wsp:val=&quot;004A2C67&quot;/&gt;&lt;wsp:rsid wsp:val=&quot;004A2CC0&quot;/&gt;&lt;wsp:rsid wsp:val=&quot;004A2F5B&quot;/&gt;&lt;wsp:rsid wsp:val=&quot;004A2FF0&quot;/&gt;&lt;wsp:rsid wsp:val=&quot;004A3335&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B00&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B6&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5E1&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DC&quot;/&gt;&lt;wsp:rsid wsp:val=&quot;004C0F82&quot;/&gt;&lt;wsp:rsid wsp:val=&quot;004C101C&quot;/&gt;&lt;wsp:rsid wsp:val=&quot;004C1213&quot;/&gt;&lt;wsp:rsid wsp:val=&quot;004C15B7&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89C&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8A&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0B5&quot;/&gt;&lt;wsp:rsid wsp:val=&quot;004E5168&quot;/&gt;&lt;wsp:rsid wsp:val=&quot;004E52A1&quot;/&gt;&lt;wsp:rsid wsp:val=&quot;004E5340&quot;/&gt;&lt;wsp:rsid wsp:val=&quot;004E53E3&quot;/&gt;&lt;wsp:rsid wsp:val=&quot;004E53FD&quot;/&gt;&lt;wsp:rsid wsp:val=&quot;004E58A2&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63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45A&quot;/&gt;&lt;wsp:rsid wsp:val=&quot;004F7849&quot;/&gt;&lt;wsp:rsid wsp:val=&quot;004F7B87&quot;/&gt;&lt;wsp:rsid wsp:val=&quot;004F7BDC&quot;/&gt;&lt;wsp:rsid wsp:val=&quot;004F7C9D&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C9&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2CE&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39B&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74&quot;/&gt;&lt;wsp:rsid wsp:val=&quot;00524C95&quot;/&gt;&lt;wsp:rsid wsp:val=&quot;00524E32&quot;/&gt;&lt;wsp:rsid wsp:val=&quot;00524E34&quot;/&gt;&lt;wsp:rsid wsp:val=&quot;00524FF3&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58&quot;/&gt;&lt;wsp:rsid wsp:val=&quot;005368BA&quot;/&gt;&lt;wsp:rsid wsp:val=&quot;00536ECC&quot;/&gt;&lt;wsp:rsid wsp:val=&quot;0053714E&quot;/&gt;&lt;wsp:rsid wsp:val=&quot;0053729A&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2F38&quot;/&gt;&lt;wsp:rsid wsp:val=&quot;005430A1&quot;/&gt;&lt;wsp:rsid wsp:val=&quot;005431D2&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1C&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03&quot;/&gt;&lt;wsp:rsid wsp:val=&quot;00547AD8&quot;/&gt;&lt;wsp:rsid wsp:val=&quot;00547C07&quot;/&gt;&lt;wsp:rsid wsp:val=&quot;00547D47&quot;/&gt;&lt;wsp:rsid wsp:val=&quot;00550118&quot;/&gt;&lt;wsp:rsid wsp:val=&quot;00550428&quot;/&gt;&lt;wsp:rsid wsp:val=&quot;00550C4D&quot;/&gt;&lt;wsp:rsid wsp:val=&quot;00551032&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CE9&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17&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62A&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6A&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96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59&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04&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875&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B2&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7C&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1B&quot;/&gt;&lt;wsp:rsid wsp:val=&quot;005A5923&quot;/&gt;&lt;wsp:rsid wsp:val=&quot;005A5A61&quot;/&gt;&lt;wsp:rsid wsp:val=&quot;005A5D15&quot;/&gt;&lt;wsp:rsid wsp:val=&quot;005A60FF&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33&quot;/&gt;&lt;wsp:rsid wsp:val=&quot;005B0348&quot;/&gt;&lt;wsp:rsid wsp:val=&quot;005B03D4&quot;/&gt;&lt;wsp:rsid wsp:val=&quot;005B05DB&quot;/&gt;&lt;wsp:rsid wsp:val=&quot;005B061B&quot;/&gt;&lt;wsp:rsid wsp:val=&quot;005B06B0&quot;/&gt;&lt;wsp:rsid wsp:val=&quot;005B0974&quot;/&gt;&lt;wsp:rsid wsp:val=&quot;005B0AFB&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02&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CA2&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9FD&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10&quot;/&gt;&lt;wsp:rsid wsp:val=&quot;005E2051&quot;/&gt;&lt;wsp:rsid wsp:val=&quot;005E207D&quot;/&gt;&lt;wsp:rsid wsp:val=&quot;005E2579&quot;/&gt;&lt;wsp:rsid wsp:val=&quot;005E2582&quot;/&gt;&lt;wsp:rsid wsp:val=&quot;005E2AF4&quot;/&gt;&lt;wsp:rsid wsp:val=&quot;005E2BEB&quot;/&gt;&lt;wsp:rsid wsp:val=&quot;005E2FC9&quot;/&gt;&lt;wsp:rsid wsp:val=&quot;005E34BC&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4C6&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3F&quot;/&gt;&lt;wsp:rsid wsp:val=&quot;005F3D7D&quot;/&gt;&lt;wsp:rsid wsp:val=&quot;005F3E96&quot;/&gt;&lt;wsp:rsid wsp:val=&quot;005F4097&quot;/&gt;&lt;wsp:rsid wsp:val=&quot;005F4126&quot;/&gt;&lt;wsp:rsid wsp:val=&quot;005F4361&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A0&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5D&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007&quot;/&gt;&lt;wsp:rsid wsp:val=&quot;00623357&quot;/&gt;&lt;wsp:rsid wsp:val=&quot;00623378&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B54&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58&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A5F&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48&quot;/&gt;&lt;wsp:rsid wsp:val=&quot;006365B6&quot;/&gt;&lt;wsp:rsid wsp:val=&quot;006365F1&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97&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49&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85&quot;/&gt;&lt;wsp:rsid wsp:val=&quot;00653A9C&quot;/&gt;&lt;wsp:rsid wsp:val=&quot;00653D73&quot;/&gt;&lt;wsp:rsid wsp:val=&quot;00654139&quot;/&gt;&lt;wsp:rsid wsp:val=&quot;00654538&quot;/&gt;&lt;wsp:rsid wsp:val=&quot;006545F1&quot;/&gt;&lt;wsp:rsid wsp:val=&quot;006546F5&quot;/&gt;&lt;wsp:rsid wsp:val=&quot;0065488E&quot;/&gt;&lt;wsp:rsid wsp:val=&quot;00654892&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0B&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1B1&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9F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BD8&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71&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81&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A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DF9&quot;/&gt;&lt;wsp:rsid wsp:val=&quot;006A6EB8&quot;/&gt;&lt;wsp:rsid wsp:val=&quot;006A6FED&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DA&quot;/&gt;&lt;wsp:rsid wsp:val=&quot;006B13D0&quot;/&gt;&lt;wsp:rsid wsp:val=&quot;006B16FB&quot;/&gt;&lt;wsp:rsid wsp:val=&quot;006B19F3&quot;/&gt;&lt;wsp:rsid wsp:val=&quot;006B1A9F&quot;/&gt;&lt;wsp:rsid wsp:val=&quot;006B1BBD&quot;/&gt;&lt;wsp:rsid wsp:val=&quot;006B1BD3&quot;/&gt;&lt;wsp:rsid wsp:val=&quot;006B1F91&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D44&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00&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8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A03&quot;/&gt;&lt;wsp:rsid wsp:val=&quot;006D4B66&quot;/&gt;&lt;wsp:rsid wsp:val=&quot;006D4C35&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18A&quot;/&gt;&lt;wsp:rsid wsp:val=&quot;006E52D0&quot;/&gt;&lt;wsp:rsid wsp:val=&quot;006E5530&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BC6&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806&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536&quot;/&gt;&lt;wsp:rsid wsp:val=&quot;00702772&quot;/&gt;&lt;wsp:rsid wsp:val=&quot;0070298B&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B7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7C&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FB3&quot;/&gt;&lt;wsp:rsid wsp:val=&quot;00717162&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0EA&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C8D&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77&quot;/&gt;&lt;wsp:rsid wsp:val=&quot;007411C7&quot;/&gt;&lt;wsp:rsid wsp:val=&quot;0074125B&quot;/&gt;&lt;wsp:rsid wsp:val=&quot;0074164C&quot;/&gt;&lt;wsp:rsid wsp:val=&quot;0074167B&quot;/&gt;&lt;wsp:rsid wsp:val=&quot;00741695&quot;/&gt;&lt;wsp:rsid wsp:val=&quot;007417C7&quot;/&gt;&lt;wsp:rsid wsp:val=&quot;00741893&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7B8&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DF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9D6&quot;/&gt;&lt;wsp:rsid wsp:val=&quot;00763A92&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13&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D8F&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E1&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38C&quot;/&gt;&lt;wsp:rsid wsp:val=&quot;007965A8&quot;/&gt;&lt;wsp:rsid wsp:val=&quot;007965E3&quot;/&gt;&lt;wsp:rsid wsp:val=&quot;0079669E&quot;/&gt;&lt;wsp:rsid wsp:val=&quot;00796717&quot;/&gt;&lt;wsp:rsid wsp:val=&quot;0079671E&quot;/&gt;&lt;wsp:rsid wsp:val=&quot;00796B64&quot;/&gt;&lt;wsp:rsid wsp:val=&quot;00796BA5&quot;/&gt;&lt;wsp:rsid wsp:val=&quot;00796CBD&quot;/&gt;&lt;wsp:rsid wsp:val=&quot;00796CD4&quot;/&gt;&lt;wsp:rsid wsp:val=&quot;007972FF&quot;/&gt;&lt;wsp:rsid wsp:val=&quot;0079738D&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3FC7&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6B&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6AB&quot;/&gt;&lt;wsp:rsid wsp:val=&quot;007B0940&quot;/&gt;&lt;wsp:rsid wsp:val=&quot;007B10EC&quot;/&gt;&lt;wsp:rsid wsp:val=&quot;007B129F&quot;/&gt;&lt;wsp:rsid wsp:val=&quot;007B12E9&quot;/&gt;&lt;wsp:rsid wsp:val=&quot;007B135F&quot;/&gt;&lt;wsp:rsid wsp:val=&quot;007B15BC&quot;/&gt;&lt;wsp:rsid wsp:val=&quot;007B165F&quot;/&gt;&lt;wsp:rsid wsp:val=&quot;007B19A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F&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A8&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C2D&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727D&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DB9&quot;/&gt;&lt;wsp:rsid wsp:val=&quot;007C7EAA&quot;/&gt;&lt;wsp:rsid wsp:val=&quot;007C7F86&quot;/&gt;&lt;wsp:rsid wsp:val=&quot;007D01B5&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32&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249&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67D&quot;/&gt;&lt;wsp:rsid wsp:val=&quot;00804A1D&quot;/&gt;&lt;wsp:rsid wsp:val=&quot;00804A3E&quot;/&gt;&lt;wsp:rsid wsp:val=&quot;00804B0F&quot;/&gt;&lt;wsp:rsid wsp:val=&quot;00804C91&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70&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10&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4E4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7A0&quot;/&gt;&lt;wsp:rsid wsp:val=&quot;0081684D&quot;/&gt;&lt;wsp:rsid wsp:val=&quot;00816D3E&quot;/&gt;&lt;wsp:rsid wsp:val=&quot;00816F35&quot;/&gt;&lt;wsp:rsid wsp:val=&quot;00817570&quot;/&gt;&lt;wsp:rsid wsp:val=&quot;00817655&quot;/&gt;&lt;wsp:rsid wsp:val=&quot;008177C4&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063&quot;/&gt;&lt;wsp:rsid wsp:val=&quot;00834346&quot;/&gt;&lt;wsp:rsid wsp:val=&quot;008343B6&quot;/&gt;&lt;wsp:rsid wsp:val=&quot;0083449D&quot;/&gt;&lt;wsp:rsid wsp:val=&quot;008345ED&quot;/&gt;&lt;wsp:rsid wsp:val=&quot;00834860&quot;/&gt;&lt;wsp:rsid wsp:val=&quot;00834A02&quot;/&gt;&lt;wsp:rsid wsp:val=&quot;00834ADE&quot;/&gt;&lt;wsp:rsid wsp:val=&quot;00835072&quot;/&gt;&lt;wsp:rsid wsp:val=&quot;00835130&quot;/&gt;&lt;wsp:rsid wsp:val=&quot;0083520A&quot;/&gt;&lt;wsp:rsid wsp:val=&quot;00835261&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477&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BA&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69A&quot;/&gt;&lt;wsp:rsid wsp:val=&quot;008676FA&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743&quot;/&gt;&lt;wsp:rsid wsp:val=&quot;0087597D&quot;/&gt;&lt;wsp:rsid wsp:val=&quot;008759C4&quot;/&gt;&lt;wsp:rsid wsp:val=&quot;008759D7&quot;/&gt;&lt;wsp:rsid wsp:val=&quot;00875A6D&quot;/&gt;&lt;wsp:rsid wsp:val=&quot;00875AFA&quot;/&gt;&lt;wsp:rsid wsp:val=&quot;00875B4D&quot;/&gt;&lt;wsp:rsid wsp:val=&quot;00875BBB&quot;/&gt;&lt;wsp:rsid wsp:val=&quot;00875C16&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1AF&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C21&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8A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C1&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01&quot;/&gt;&lt;wsp:rsid wsp:val=&quot;008A3D15&quot;/&gt;&lt;wsp:rsid wsp:val=&quot;008A3F21&quot;/&gt;&lt;wsp:rsid wsp:val=&quot;008A3FE2&quot;/&gt;&lt;wsp:rsid wsp:val=&quot;008A4223&quot;/&gt;&lt;wsp:rsid wsp:val=&quot;008A4419&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1A2&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6AC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0A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447&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D49&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76&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0DA6&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1F1&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6A8&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B74&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A46&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3E4&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4E3&quot;/&gt;&lt;wsp:rsid wsp:val=&quot;00913629&quot;/&gt;&lt;wsp:rsid wsp:val=&quot;00913744&quot;/&gt;&lt;wsp:rsid wsp:val=&quot;009137EA&quot;/&gt;&lt;wsp:rsid wsp:val=&quot;00913A68&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9BD&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1A8&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AD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997&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74&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3A5&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830&quot;/&gt;&lt;wsp:rsid wsp:val=&quot;00961B8F&quot;/&gt;&lt;wsp:rsid wsp:val=&quot;00961C7D&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7A6&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2E&quot;/&gt;&lt;wsp:rsid wsp:val=&quot;00975ADC&quot;/&gt;&lt;wsp:rsid wsp:val=&quot;00975AFA&quot;/&gt;&lt;wsp:rsid wsp:val=&quot;00975E5C&quot;/&gt;&lt;wsp:rsid wsp:val=&quot;00976175&quot;/&gt;&lt;wsp:rsid wsp:val=&quot;00976244&quot;/&gt;&lt;wsp:rsid wsp:val=&quot;00976266&quot;/&gt;&lt;wsp:rsid wsp:val=&quot;009768A3&quot;/&gt;&lt;wsp:rsid wsp:val=&quot;00976911&quot;/&gt;&lt;wsp:rsid wsp:val=&quot;009769B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9EB&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E8&quot;/&gt;&lt;wsp:rsid wsp:val=&quot;00986519&quot;/&gt;&lt;wsp:rsid wsp:val=&quot;0098662E&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21&quot;/&gt;&lt;wsp:rsid wsp:val=&quot;00993DC5&quot;/&gt;&lt;wsp:rsid wsp:val=&quot;00993DD2&quot;/&gt;&lt;wsp:rsid wsp:val=&quot;00993E62&quot;/&gt;&lt;wsp:rsid wsp:val=&quot;00993EBD&quot;/&gt;&lt;wsp:rsid wsp:val=&quot;00993F22&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581&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CAD&quot;/&gt;&lt;wsp:rsid wsp:val=&quot;00997DA8&quot;/&gt;&lt;wsp:rsid wsp:val=&quot;00997E56&quot;/&gt;&lt;wsp:rsid wsp:val=&quot;009A015B&quot;/&gt;&lt;wsp:rsid wsp:val=&quot;009A0259&quot;/&gt;&lt;wsp:rsid wsp:val=&quot;009A0275&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43B&quot;/&gt;&lt;wsp:rsid wsp:val=&quot;009A1981&quot;/&gt;&lt;wsp:rsid wsp:val=&quot;009A19BF&quot;/&gt;&lt;wsp:rsid wsp:val=&quot;009A1B33&quot;/&gt;&lt;wsp:rsid wsp:val=&quot;009A1C1B&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56&quot;/&gt;&lt;wsp:rsid wsp:val=&quot;009A74DB&quot;/&gt;&lt;wsp:rsid wsp:val=&quot;009A7573&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348&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2FB&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46&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7D&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A1&quot;/&gt;&lt;wsp:rsid wsp:val=&quot;009E7004&quot;/&gt;&lt;wsp:rsid wsp:val=&quot;009E72C7&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81&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80A&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29F&quot;/&gt;&lt;wsp:rsid wsp:val=&quot;00A02398&quot;/&gt;&lt;wsp:rsid wsp:val=&quot;00A02703&quot;/&gt;&lt;wsp:rsid wsp:val=&quot;00A02719&quot;/&gt;&lt;wsp:rsid wsp:val=&quot;00A0272B&quot;/&gt;&lt;wsp:rsid wsp:val=&quot;00A02783&quot;/&gt;&lt;wsp:rsid wsp:val=&quot;00A0290D&quot;/&gt;&lt;wsp:rsid wsp:val=&quot;00A02A5A&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4A8&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71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EAD&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92&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C07&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1EFD&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B6&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9E4&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2FFF&quot;/&gt;&lt;wsp:rsid wsp:val=&quot;00A43190&quot;/&gt;&lt;wsp:rsid wsp:val=&quot;00A433E5&quot;/&gt;&lt;wsp:rsid wsp:val=&quot;00A435F8&quot;/&gt;&lt;wsp:rsid wsp:val=&quot;00A4368E&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80&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A68&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35&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66C&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082&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851&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6FF&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A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0C7&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02C&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1FC&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6BD&quot;/&gt;&lt;wsp:rsid wsp:val=&quot;00A9581A&quot;/&gt;&lt;wsp:rsid wsp:val=&quot;00A95900&quot;/&gt;&lt;wsp:rsid wsp:val=&quot;00A95B6F&quot;/&gt;&lt;wsp:rsid wsp:val=&quot;00A95E3E&quot;/&gt;&lt;wsp:rsid wsp:val=&quot;00A960C7&quot;/&gt;&lt;wsp:rsid wsp:val=&quot;00A96148&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170&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198&quot;/&gt;&lt;wsp:rsid wsp:val=&quot;00AA321E&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6&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5CC&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3AB&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0D9&quot;/&gt;&lt;wsp:rsid wsp:val=&quot;00AB4571&quot;/&gt;&lt;wsp:rsid wsp:val=&quot;00AB45C1&quot;/&gt;&lt;wsp:rsid wsp:val=&quot;00AB45CC&quot;/&gt;&lt;wsp:rsid wsp:val=&quot;00AB4835&quot;/&gt;&lt;wsp:rsid wsp:val=&quot;00AB4AEC&quot;/&gt;&lt;wsp:rsid wsp:val=&quot;00AB4C0A&quot;/&gt;&lt;wsp:rsid wsp:val=&quot;00AB4DA8&quot;/&gt;&lt;wsp:rsid wsp:val=&quot;00AB4E40&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4E9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6EF2&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5B1&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36&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00C&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68&quot;/&gt;&lt;wsp:rsid wsp:val=&quot;00AE02A9&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79F&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E91&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DFB&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9C&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ADE&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A4&quot;/&gt;&lt;wsp:rsid wsp:val=&quot;00B07AE6&quot;/&gt;&lt;wsp:rsid wsp:val=&quot;00B07EDB&quot;/&gt;&lt;wsp:rsid wsp:val=&quot;00B10019&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3E&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6E&quot;/&gt;&lt;wsp:rsid wsp:val=&quot;00B21FE6&quot;/&gt;&lt;wsp:rsid wsp:val=&quot;00B2227C&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27&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AA&quot;/&gt;&lt;wsp:rsid wsp:val=&quot;00B245FF&quot;/&gt;&lt;wsp:rsid wsp:val=&quot;00B24798&quot;/&gt;&lt;wsp:rsid wsp:val=&quot;00B247E1&quot;/&gt;&lt;wsp:rsid wsp:val=&quot;00B24AEE&quot;/&gt;&lt;wsp:rsid wsp:val=&quot;00B25030&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C3E&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5E4&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818&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8D1&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0DBD&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A77&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283&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8E6&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97&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416&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8D&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91&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DDE&quot;/&gt;&lt;wsp:rsid wsp:val=&quot;00B81FFC&quot;/&gt;&lt;wsp:rsid wsp:val=&quot;00B82348&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A82&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B7E&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D2F&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695&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A9D&quot;/&gt;&lt;wsp:rsid wsp:val=&quot;00BA0BEB&quot;/&gt;&lt;wsp:rsid wsp:val=&quot;00BA0D73&quot;/&gt;&lt;wsp:rsid wsp:val=&quot;00BA0E82&quot;/&gt;&lt;wsp:rsid wsp:val=&quot;00BA11BF&quot;/&gt;&lt;wsp:rsid wsp:val=&quot;00BA12A2&quot;/&gt;&lt;wsp:rsid wsp:val=&quot;00BA142F&quot;/&gt;&lt;wsp:rsid wsp:val=&quot;00BA147C&quot;/&gt;&lt;wsp:rsid wsp:val=&quot;00BA15DB&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6DA&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5DC&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0B&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EDF&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DB1&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EF&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23B&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938&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6E7&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7B&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4ED2&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9A&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CF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9B1&quot;/&gt;&lt;wsp:rsid wsp:val=&quot;00C21AE6&quot;/&gt;&lt;wsp:rsid wsp:val=&quot;00C21B3D&quot;/&gt;&lt;wsp:rsid wsp:val=&quot;00C21D63&quot;/&gt;&lt;wsp:rsid wsp:val=&quot;00C21E69&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778&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EA6&quot;/&gt;&lt;wsp:rsid wsp:val=&quot;00C25F9B&quot;/&gt;&lt;wsp:rsid wsp:val=&quot;00C26051&quot;/&gt;&lt;wsp:rsid wsp:val=&quot;00C2611D&quot;/&gt;&lt;wsp:rsid wsp:val=&quot;00C26145&quot;/&gt;&lt;wsp:rsid wsp:val=&quot;00C2632C&quot;/&gt;&lt;wsp:rsid wsp:val=&quot;00C26404&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DF&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43&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565&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26&quot;/&gt;&lt;wsp:rsid wsp:val=&quot;00C674B4&quot;/&gt;&lt;wsp:rsid wsp:val=&quot;00C67509&quot;/&gt;&lt;wsp:rsid wsp:val=&quot;00C67B5A&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490&quot;/&gt;&lt;wsp:rsid wsp:val=&quot;00C7162A&quot;/&gt;&lt;wsp:rsid wsp:val=&quot;00C71A68&quot;/&gt;&lt;wsp:rsid wsp:val=&quot;00C71B58&quot;/&gt;&lt;wsp:rsid wsp:val=&quot;00C71C33&quot;/&gt;&lt;wsp:rsid wsp:val=&quot;00C720C9&quot;/&gt;&lt;wsp:rsid wsp:val=&quot;00C722AB&quot;/&gt;&lt;wsp:rsid wsp:val=&quot;00C722EC&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9B8&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AC9&quot;/&gt;&lt;wsp:rsid wsp:val=&quot;00C91CB1&quot;/&gt;&lt;wsp:rsid wsp:val=&quot;00C91E3B&quot;/&gt;&lt;wsp:rsid wsp:val=&quot;00C92007&quot;/&gt;&lt;wsp:rsid wsp:val=&quot;00C9214B&quot;/&gt;&lt;wsp:rsid wsp:val=&quot;00C922BB&quot;/&gt;&lt;wsp:rsid wsp:val=&quot;00C923EC&quot;/&gt;&lt;wsp:rsid wsp:val=&quot;00C9252D&quot;/&gt;&lt;wsp:rsid wsp:val=&quot;00C92586&quot;/&gt;&lt;wsp:rsid wsp:val=&quot;00C926AF&quot;/&gt;&lt;wsp:rsid wsp:val=&quot;00C929DA&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02&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CDC&quot;/&gt;&lt;wsp:rsid wsp:val=&quot;00CA321D&quot;/&gt;&lt;wsp:rsid wsp:val=&quot;00CA3382&quot;/&gt;&lt;wsp:rsid wsp:val=&quot;00CA3409&quot;/&gt;&lt;wsp:rsid wsp:val=&quot;00CA348C&quot;/&gt;&lt;wsp:rsid wsp:val=&quot;00CA34E3&quot;/&gt;&lt;wsp:rsid wsp:val=&quot;00CA3562&quot;/&gt;&lt;wsp:rsid wsp:val=&quot;00CA3646&quot;/&gt;&lt;wsp:rsid wsp:val=&quot;00CA37B7&quot;/&gt;&lt;wsp:rsid wsp:val=&quot;00CA388B&quot;/&gt;&lt;wsp:rsid wsp:val=&quot;00CA3897&quot;/&gt;&lt;wsp:rsid wsp:val=&quot;00CA3C19&quot;/&gt;&lt;wsp:rsid wsp:val=&quot;00CA3D58&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789&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72&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9B&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A6E&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AF0&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486&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878&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32&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A21&quot;/&gt;&lt;wsp:rsid wsp:val=&quot;00CD6CED&quot;/&gt;&lt;wsp:rsid wsp:val=&quot;00CD6D05&quot;/&gt;&lt;wsp:rsid wsp:val=&quot;00CD6D36&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363&quot;/&gt;&lt;wsp:rsid wsp:val=&quot;00CF060A&quot;/&gt;&lt;wsp:rsid wsp:val=&quot;00CF072C&quot;/&gt;&lt;wsp:rsid wsp:val=&quot;00CF07B8&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88&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AA2&quot;/&gt;&lt;wsp:rsid wsp:val=&quot;00D04C48&quot;/&gt;&lt;wsp:rsid wsp:val=&quot;00D04CF3&quot;/&gt;&lt;wsp:rsid wsp:val=&quot;00D04D69&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A25&quot;/&gt;&lt;wsp:rsid wsp:val=&quot;00D12C1B&quot;/&gt;&lt;wsp:rsid wsp:val=&quot;00D12CD7&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677&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3A7&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87D&quot;/&gt;&lt;wsp:rsid wsp:val=&quot;00D55B84&quot;/&gt;&lt;wsp:rsid wsp:val=&quot;00D55BAB&quot;/&gt;&lt;wsp:rsid wsp:val=&quot;00D55CE5&quot;/&gt;&lt;wsp:rsid wsp:val=&quot;00D55D32&quot;/&gt;&lt;wsp:rsid wsp:val=&quot;00D55DD7&quot;/&gt;&lt;wsp:rsid wsp:val=&quot;00D55EA8&quot;/&gt;&lt;wsp:rsid wsp:val=&quot;00D5681E&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E63&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0FB9&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2A7&quot;/&gt;&lt;wsp:rsid wsp:val=&quot;00D6568C&quot;/&gt;&lt;wsp:rsid wsp:val=&quot;00D6586D&quot;/&gt;&lt;wsp:rsid wsp:val=&quot;00D65878&quot;/&gt;&lt;wsp:rsid wsp:val=&quot;00D65966&quot;/&gt;&lt;wsp:rsid wsp:val=&quot;00D65A40&quot;/&gt;&lt;wsp:rsid wsp:val=&quot;00D65A52&quot;/&gt;&lt;wsp:rsid wsp:val=&quot;00D65ABF&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9BA&quot;/&gt;&lt;wsp:rsid wsp:val=&quot;00D74A11&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06A&quot;/&gt;&lt;wsp:rsid wsp:val=&quot;00D761F9&quot;/&gt;&lt;wsp:rsid wsp:val=&quot;00D762C7&quot;/&gt;&lt;wsp:rsid wsp:val=&quot;00D76529&quot;/&gt;&lt;wsp:rsid wsp:val=&quot;00D76594&quot;/&gt;&lt;wsp:rsid wsp:val=&quot;00D7696B&quot;/&gt;&lt;wsp:rsid wsp:val=&quot;00D76AF3&quot;/&gt;&lt;wsp:rsid wsp:val=&quot;00D76C76&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C69&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4FB3&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6&quot;/&gt;&lt;wsp:rsid wsp:val=&quot;00D872BE&quot;/&gt;&lt;wsp:rsid wsp:val=&quot;00D87570&quot;/&gt;&lt;wsp:rsid wsp:val=&quot;00D87762&quot;/&gt;&lt;wsp:rsid wsp:val=&quot;00D87AA5&quot;/&gt;&lt;wsp:rsid wsp:val=&quot;00D87B26&quot;/&gt;&lt;wsp:rsid wsp:val=&quot;00D87C3A&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01D&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5DA&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6&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4B9&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D2C&quot;/&gt;&lt;wsp:rsid wsp:val=&quot;00DB3D98&quot;/&gt;&lt;wsp:rsid wsp:val=&quot;00DB3E2B&quot;/&gt;&lt;wsp:rsid wsp:val=&quot;00DB3F0F&quot;/&gt;&lt;wsp:rsid wsp:val=&quot;00DB404B&quot;/&gt;&lt;wsp:rsid wsp:val=&quot;00DB4124&quot;/&gt;&lt;wsp:rsid wsp:val=&quot;00DB4201&quot;/&gt;&lt;wsp:rsid wsp:val=&quot;00DB4392&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43E&quot;/&gt;&lt;wsp:rsid wsp:val=&quot;00DC25A0&quot;/&gt;&lt;wsp:rsid wsp:val=&quot;00DC25B6&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9C3&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4C&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E50&quot;/&gt;&lt;wsp:rsid wsp:val=&quot;00DD5FCF&quot;/&gt;&lt;wsp:rsid wsp:val=&quot;00DD5FEB&quot;/&gt;&lt;wsp:rsid wsp:val=&quot;00DD609E&quot;/&gt;&lt;wsp:rsid wsp:val=&quot;00DD60A9&quot;/&gt;&lt;wsp:rsid wsp:val=&quot;00DD6216&quot;/&gt;&lt;wsp:rsid wsp:val=&quot;00DD635A&quot;/&gt;&lt;wsp:rsid wsp:val=&quot;00DD659E&quot;/&gt;&lt;wsp:rsid wsp:val=&quot;00DD6780&quot;/&gt;&lt;wsp:rsid wsp:val=&quot;00DD6AF1&quot;/&gt;&lt;wsp:rsid wsp:val=&quot;00DD6CD2&quot;/&gt;&lt;wsp:rsid wsp:val=&quot;00DD6E72&quot;/&gt;&lt;wsp:rsid wsp:val=&quot;00DD7037&quot;/&gt;&lt;wsp:rsid wsp:val=&quot;00DD70D5&quot;/&gt;&lt;wsp:rsid wsp:val=&quot;00DD7378&quot;/&gt;&lt;wsp:rsid wsp:val=&quot;00DD7454&quot;/&gt;&lt;wsp:rsid wsp:val=&quot;00DD751B&quot;/&gt;&lt;wsp:rsid wsp:val=&quot;00DD7589&quot;/&gt;&lt;wsp:rsid wsp:val=&quot;00DD7628&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49C&quot;/&gt;&lt;wsp:rsid wsp:val=&quot;00DF6632&quot;/&gt;&lt;wsp:rsid wsp:val=&quot;00DF67A6&quot;/&gt;&lt;wsp:rsid wsp:val=&quot;00DF682B&quot;/&gt;&lt;wsp:rsid wsp:val=&quot;00DF6AAE&quot;/&gt;&lt;wsp:rsid wsp:val=&quot;00DF6D2F&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0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C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3BA&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C6A&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067&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11C&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D1A&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CF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52&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493&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6AA&quot;/&gt;&lt;wsp:rsid wsp:val=&quot;00E8177D&quot;/&gt;&lt;wsp:rsid wsp:val=&quot;00E8178E&quot;/&gt;&lt;wsp:rsid wsp:val=&quot;00E817D9&quot;/&gt;&lt;wsp:rsid wsp:val=&quot;00E819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BAE&quot;/&gt;&lt;wsp:rsid wsp:val=&quot;00E90C06&quot;/&gt;&lt;wsp:rsid wsp:val=&quot;00E910BE&quot;/&gt;&lt;wsp:rsid wsp:val=&quot;00E9117B&quot;/&gt;&lt;wsp:rsid wsp:val=&quot;00E912ED&quot;/&gt;&lt;wsp:rsid wsp:val=&quot;00E91411&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B71&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88E&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0F&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A7D&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774&quot;/&gt;&lt;wsp:rsid wsp:val=&quot;00EC6A40&quot;/&gt;&lt;wsp:rsid wsp:val=&quot;00EC6A69&quot;/&gt;&lt;wsp:rsid wsp:val=&quot;00EC6B80&quot;/&gt;&lt;wsp:rsid wsp:val=&quot;00EC6D6B&quot;/&gt;&lt;wsp:rsid wsp:val=&quot;00EC752A&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CB1&quot;/&gt;&lt;wsp:rsid wsp:val=&quot;00ED1DA9&quot;/&gt;&lt;wsp:rsid wsp:val=&quot;00ED1DF8&quot;/&gt;&lt;wsp:rsid wsp:val=&quot;00ED214E&quot;/&gt;&lt;wsp:rsid wsp:val=&quot;00ED21DE&quot;/&gt;&lt;wsp:rsid wsp:val=&quot;00ED2312&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21&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16&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2BD&quot;/&gt;&lt;wsp:rsid wsp:val=&quot;00EE2377&quot;/&gt;&lt;wsp:rsid wsp:val=&quot;00EE2396&quot;/&gt;&lt;wsp:rsid wsp:val=&quot;00EE241F&quot;/&gt;&lt;wsp:rsid wsp:val=&quot;00EE2545&quot;/&gt;&lt;wsp:rsid wsp:val=&quot;00EE270E&quot;/&gt;&lt;wsp:rsid wsp:val=&quot;00EE2A46&quot;/&gt;&lt;wsp:rsid wsp:val=&quot;00EE2A71&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5&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44&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9F2&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1&quot;/&gt;&lt;wsp:rsid wsp:val=&quot;00F05D46&quot;/&gt;&lt;wsp:rsid wsp:val=&quot;00F05DBC&quot;/&gt;&lt;wsp:rsid wsp:val=&quot;00F05EC3&quot;/&gt;&lt;wsp:rsid wsp:val=&quot;00F05F9A&quot;/&gt;&lt;wsp:rsid wsp:val=&quot;00F05FA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80&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DF9&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10D&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58&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6A&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1CB&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A8&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043&quot;/&gt;&lt;wsp:rsid wsp:val=&quot;00F661CB&quot;/&gt;&lt;wsp:rsid wsp:val=&quot;00F66201&quot;/&gt;&lt;wsp:rsid wsp:val=&quot;00F66369&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7DE&quot;/&gt;&lt;wsp:rsid wsp:val=&quot;00F84827&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25&quot;/&gt;&lt;wsp:rsid wsp:val=&quot;00F87FD4&quot;/&gt;&lt;wsp:rsid wsp:val=&quot;00F9036E&quot;/&gt;&lt;wsp:rsid wsp:val=&quot;00F9054C&quot;/&gt;&lt;wsp:rsid wsp:val=&quot;00F9057B&quot;/&gt;&lt;wsp:rsid wsp:val=&quot;00F90C01&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503&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DDE&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31&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F2&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3C8&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5F4B&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585&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31&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0A&quot;/&gt;&lt;wsp:rsid wsp:val=&quot;00FE4847&quot;/&gt;&lt;wsp:rsid wsp:val=&quot;00FE4B7A&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A6&quot;/&gt;&lt;wsp:rsid wsp:val=&quot;00FF38BF&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 wsp:val=&quot;00FF7F51&quot;/&gt;&lt;/wsp:rsids&gt;&lt;/w:docPr&gt;&lt;w:body&gt;&lt;wx:sect&gt;&lt;w:p wsp:rsidR=&quot;00000000&quot; wsp:rsidRDefault=&quot;00B01DFB&quot; wsp:rsidP=&quot;00B01DFB&quot;&gt;&lt;m:oMathPara&gt;&lt;m:oMath&gt;&lt;m:sSubSup&gt;&lt;m:sSubSupPr&gt;&lt;m:ctrlPr&gt;&lt;w:rPr&gt;&lt;w:rFonts w:ascii=&quot;Cambria Math&quot; w:fareast=&quot;DengXian&quot; w:h-ansi=&quot;Cambria Math&quot;/&gt;&lt;wx:font wx:val=&quot;Cambria Math&quot;/&gt;&lt;w:i/&gt;&lt;w:sz w:val=&quot;22&quot;/&gt;&lt;/w:rPr&gt;&lt;/m:ctrlPr&gt;&lt;/m:sSubSupPr&gt;&lt;m:e&gt;&lt;m:r&gt;&lt;w:rPr&gt;&lt;w:rFonts w:ascii=&quot;Cambria Math&quot; w:fareast=&quot;DengXian&quot; w:h-ansi=&quot;Cambria Math&quot;/&gt;&lt;wx:font wx:val=&quot;Cambria Math&quot;/&gt;&lt;w:i/&gt;&lt;w:sz w:val=&quot;22&quot;/&gt;&lt;/w:rPr&gt;&lt;m:t&gt;N&lt;/m:t&gt;&lt;/m:r&gt;&lt;/m:e&gt;&lt;m:sub&gt;&lt;m:r&gt;&lt;w:rPr&gt;&lt;w:rFonts w:ascii=&quot;Cambria Math&quot; w:fareast=&quot;DengXian&quot; w:h-ansi=&quot;Cambria Math&quot;/&gt;&lt;wx:font wx:val=&quot;Cambria Math&quot;/&gt;&lt;w:i/&gt;&lt;w:sz w:val=&quot;22&quot;/&gt;&lt;/w:rPr&gt;&lt;m:t&gt;cells&lt;/m:t&gt;&lt;/m:r&gt;&lt;/m:sub&gt;&lt;m:sup&gt;&lt;m:r&gt;&lt;w:rPr&gt;&lt;w:rFonts w:ascii=&quot;Cambria Math&quot; w:fareast=&quot;DengXian&quot; w:h-ansi=&quot;Cambria Math&quot;/&gt;&lt;wx:font wx:val=&quot;Cambria Math&quot;/&gt;&lt;w:i/&gt;&lt;w:sz w:val=&quot;22&quot;/&gt;&lt;/w:rPr&gt;&lt;m:t&gt;DL,μ&lt;/m:t&gt;&lt;/m:r&gt;&lt;/m:sup&gt;&lt;/m:sSubSup&gt;&lt;/m:oMath&gt;&lt;/m:oMathPara&gt;&lt;/w:p&gt;&lt;w:sectPr wsp:rsmmmmmmmmmmmmmmids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ascii="New York" w:hAnsi="New York"/>
              </w:rPr>
              <w:instrText xml:space="preserve"> </w:instrText>
            </w:r>
            <w:r>
              <w:rPr>
                <w:rFonts w:ascii="New York" w:hAnsi="New York"/>
              </w:rPr>
              <w:fldChar w:fldCharType="end"/>
            </w:r>
            <w:r>
              <w:rPr>
                <w:rFonts w:ascii="New York" w:hAnsi="New York"/>
              </w:rPr>
              <w:t xml:space="preserve">to “the number of configured DL-CCs whose scheduling cell is with active DL BWP having SCS configuration </w:t>
            </w:r>
            <w:r>
              <w:rPr>
                <w:rFonts w:ascii="New York" w:hAnsi="New York"/>
              </w:rPr>
              <w:sym w:font="Symbol" w:char="F06D"/>
            </w:r>
            <w:r>
              <w:rPr>
                <w:rFonts w:ascii="New York" w:hAnsi="New York"/>
              </w:rPr>
              <w:t>” as in Section 10.1 of 38.213</w:t>
            </w:r>
          </w:p>
        </w:tc>
      </w:tr>
    </w:tbl>
    <w:p>
      <w:pPr>
        <w:rPr>
          <w:lang w:eastAsia="zh-CN"/>
        </w:rPr>
      </w:pPr>
    </w:p>
    <w:p>
      <w:pPr>
        <w:rPr>
          <w:lang w:eastAsia="zh-CN"/>
        </w:rPr>
      </w:pPr>
      <w:r>
        <w:rPr>
          <w:rFonts w:hint="eastAsia"/>
          <w:lang w:eastAsia="zh-CN"/>
        </w:rPr>
        <w:t>Another topic is about how to decrease the UE buffering requirement for the case of lower SCS PDCCH scheduling a higher SCS PDSCH</w:t>
      </w:r>
      <w:r>
        <w:rPr>
          <w:lang w:eastAsia="zh-CN"/>
        </w:rPr>
        <w:t xml:space="preserve"> </w:t>
      </w:r>
      <w:r>
        <w:rPr>
          <w:lang w:eastAsia="zh-CN"/>
        </w:rPr>
        <w:fldChar w:fldCharType="begin"/>
      </w:r>
      <w:r>
        <w:rPr>
          <w:lang w:eastAsia="zh-CN"/>
        </w:rPr>
        <w:instrText xml:space="preserve"> REF _Ref16633 \n \h </w:instrText>
      </w:r>
      <w:r>
        <w:rPr>
          <w:lang w:eastAsia="zh-CN"/>
        </w:rPr>
        <w:fldChar w:fldCharType="separate"/>
      </w:r>
      <w:r>
        <w:rPr>
          <w:lang w:eastAsia="zh-CN"/>
        </w:rPr>
        <w:t>[1]</w:t>
      </w:r>
      <w:r>
        <w:rPr>
          <w:lang w:eastAsia="zh-CN"/>
        </w:rPr>
        <w:fldChar w:fldCharType="end"/>
      </w:r>
      <w:r>
        <w:rPr>
          <w:rFonts w:hint="eastAsia"/>
          <w:lang w:eastAsia="zh-CN"/>
        </w:rPr>
        <w:t xml:space="preserve">. Companies have agreed that </w:t>
      </w:r>
      <w:r>
        <w:rPr/>
        <w:sym w:font="Symbol" w:char="F044"/>
      </w:r>
      <w:r>
        <w:t>&gt;0</w:t>
      </w:r>
      <w:r>
        <w:rPr>
          <w:rFonts w:hint="eastAsia"/>
          <w:lang w:eastAsia="zh-CN"/>
        </w:rPr>
        <w:t xml:space="preserve"> is defined between the starting point of PDSCH and the end of the corresponding PDCCH.</w:t>
      </w: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00" w:beforeAutospacing="1" w:after="0" w:line="240" w:lineRule="auto"/>
              <w:rPr>
                <w:rFonts w:ascii="New York" w:hAnsi="New York"/>
                <w:b/>
              </w:rPr>
            </w:pPr>
            <w:r>
              <w:rPr>
                <w:rFonts w:ascii="New York" w:hAnsi="New York"/>
                <w:highlight w:val="green"/>
              </w:rPr>
              <w:t>Agreements</w:t>
            </w:r>
            <w:r>
              <w:rPr>
                <w:rFonts w:ascii="New York" w:hAnsi="New York"/>
                <w:b/>
              </w:rPr>
              <w:t>:</w:t>
            </w:r>
          </w:p>
          <w:p>
            <w:pPr>
              <w:numPr>
                <w:ilvl w:val="0"/>
                <w:numId w:val="9"/>
              </w:numPr>
              <w:spacing w:before="100" w:beforeAutospacing="1" w:after="0" w:line="240" w:lineRule="auto"/>
              <w:rPr>
                <w:rFonts w:ascii="New York" w:hAnsi="New York"/>
                <w:b/>
              </w:rPr>
            </w:pPr>
            <w:r>
              <w:rPr>
                <w:rFonts w:ascii="New York" w:hAnsi="New York"/>
              </w:rPr>
              <w:t xml:space="preserve">At least for the case of lower SCS PDCCH scheduling a higher SCS PDSCH the earliest possible starting point for the PDSCH is defined by the end of the PDCCH + </w:t>
            </w:r>
            <w:r>
              <w:rPr>
                <w:rFonts w:ascii="New York" w:hAnsi="New York"/>
              </w:rPr>
              <w:sym w:font="Symbol" w:char="F044"/>
            </w:r>
          </w:p>
          <w:p>
            <w:pPr>
              <w:numPr>
                <w:ilvl w:val="1"/>
                <w:numId w:val="9"/>
              </w:numPr>
              <w:spacing w:before="100" w:beforeAutospacing="1" w:after="0" w:line="240" w:lineRule="auto"/>
              <w:rPr>
                <w:rFonts w:ascii="New York" w:hAnsi="New York"/>
                <w:b/>
              </w:rPr>
            </w:pPr>
            <w:r>
              <w:rPr>
                <w:rFonts w:ascii="New York" w:hAnsi="New York"/>
              </w:rPr>
              <w:t xml:space="preserve"> </w:t>
            </w:r>
            <w:r>
              <w:rPr>
                <w:rFonts w:ascii="New York" w:hAnsi="New York"/>
              </w:rPr>
              <w:sym w:font="Symbol" w:char="F044"/>
            </w:r>
            <w:r>
              <w:rPr>
                <w:rFonts w:ascii="New York" w:hAnsi="New York"/>
              </w:rPr>
              <w:t>&gt;0. Detailed value(s) FFS</w:t>
            </w:r>
          </w:p>
          <w:p>
            <w:pPr>
              <w:numPr>
                <w:ilvl w:val="1"/>
                <w:numId w:val="9"/>
              </w:numPr>
              <w:spacing w:before="100" w:beforeAutospacing="1" w:after="0" w:line="240" w:lineRule="auto"/>
              <w:rPr>
                <w:rFonts w:ascii="New York" w:hAnsi="New York"/>
                <w:lang w:eastAsia="zh-CN"/>
              </w:rPr>
            </w:pPr>
            <w:r>
              <w:rPr>
                <w:rFonts w:ascii="New York" w:hAnsi="New York"/>
              </w:rPr>
              <w:t xml:space="preserve">FFS other factor(s) impacting </w:t>
            </w:r>
            <w:r>
              <w:rPr>
                <w:rFonts w:ascii="New York" w:hAnsi="New York"/>
              </w:rPr>
              <w:sym w:font="Symbol" w:char="F044"/>
            </w:r>
          </w:p>
        </w:tc>
      </w:tr>
    </w:tbl>
    <w:p>
      <w:pPr>
        <w:rPr>
          <w:lang w:eastAsia="zh-CN"/>
        </w:rPr>
      </w:pPr>
    </w:p>
    <w:p>
      <w:pPr>
        <w:rPr>
          <w:lang w:eastAsia="zh-CN"/>
        </w:rPr>
      </w:pPr>
      <w:r>
        <w:rPr>
          <w:rFonts w:hint="eastAsia"/>
          <w:lang w:eastAsia="zh-CN"/>
        </w:rPr>
        <w:t>In this contribution, we continue discussing the remaining issues in this agenda item.</w:t>
      </w:r>
    </w:p>
    <w:p>
      <w:pPr>
        <w:pStyle w:val="2"/>
        <w:rPr>
          <w:lang w:val="en-US" w:eastAsia="zh-CN"/>
        </w:rPr>
      </w:pPr>
      <w:r>
        <w:rPr>
          <w:rFonts w:hint="eastAsia"/>
          <w:lang w:val="en-US" w:eastAsia="zh-CN"/>
        </w:rPr>
        <w:t>Multi-slot scheduling</w:t>
      </w:r>
    </w:p>
    <w:p>
      <w:pPr>
        <w:pStyle w:val="3"/>
        <w:rPr>
          <w:lang w:val="en-US" w:eastAsia="zh-CN"/>
        </w:rPr>
      </w:pPr>
      <w:r>
        <w:rPr>
          <w:rFonts w:hint="eastAsia"/>
          <w:lang w:val="en-US" w:eastAsia="zh-CN"/>
        </w:rPr>
        <w:t>View on multi-slot scheduling</w:t>
      </w:r>
    </w:p>
    <w:p>
      <w:pPr>
        <w:rPr>
          <w:lang w:eastAsia="zh-CN"/>
        </w:rPr>
      </w:pPr>
      <w:r>
        <w:rPr>
          <w:rFonts w:hint="eastAsia"/>
          <w:lang w:eastAsia="zh-CN"/>
        </w:rPr>
        <w:t>As mentioned in preceding section, the limit of BDs/CCEs (per slot in the scheduling CC) for the scheduled CC is determined based on the numerology of the scheduling CC. In case of lower SCS PDCCH scheduling a higher SCS PDSCH, the number of BDs may be not enough to simultaneously schedule all the DL slots and UL slots.</w:t>
      </w:r>
    </w:p>
    <w:p>
      <w:pPr>
        <w:rPr>
          <w:lang w:eastAsia="zh-CN"/>
        </w:rPr>
      </w:pPr>
      <w:r>
        <w:rPr>
          <w:rFonts w:hint="eastAsia"/>
          <w:lang w:eastAsia="zh-CN"/>
        </w:rPr>
        <w:t xml:space="preserve">Take an extreme example as depicted in </w:t>
      </w:r>
      <w:r>
        <w:rPr>
          <w:rFonts w:hint="eastAsia"/>
          <w:lang w:eastAsia="zh-CN"/>
        </w:rPr>
        <w:fldChar w:fldCharType="begin"/>
      </w:r>
      <w:r>
        <w:rPr>
          <w:rFonts w:hint="eastAsia"/>
          <w:lang w:eastAsia="zh-CN"/>
        </w:rPr>
        <w:instrText xml:space="preserve"> REF _Ref9561 \h </w:instrText>
      </w:r>
      <w:r>
        <w:rPr>
          <w:rFonts w:hint="eastAsia"/>
          <w:lang w:eastAsia="zh-CN"/>
        </w:rPr>
        <w:fldChar w:fldCharType="separate"/>
      </w:r>
      <w:r>
        <w:t>Figure 1</w:t>
      </w:r>
      <w:r>
        <w:rPr>
          <w:rFonts w:hint="eastAsia"/>
          <w:lang w:eastAsia="zh-CN"/>
        </w:rPr>
        <w:fldChar w:fldCharType="end"/>
      </w:r>
      <w:r>
        <w:rPr>
          <w:rFonts w:hint="eastAsia"/>
          <w:lang w:eastAsia="zh-CN"/>
        </w:rPr>
        <w:t>, one 15KHz SCS Cell#0 schedules another Cell#1, including one 120KHz SCS DL CC and one 120KHz UL CC. In this example, the SCS of scheduling CC is used to determine the BD limit for the scheduled Cell#1. That</w:t>
      </w:r>
      <w:r>
        <w:rPr>
          <w:lang w:eastAsia="zh-CN"/>
        </w:rPr>
        <w:t>’</w:t>
      </w:r>
      <w:r>
        <w:rPr>
          <w:rFonts w:hint="eastAsia"/>
          <w:lang w:eastAsia="zh-CN"/>
        </w:rPr>
        <w:t xml:space="preserve">s to say, the maximum BD number for cross-carrier scheduling PDSCH and PUSCH </w:t>
      </w:r>
      <w:r>
        <w:rPr>
          <w:lang w:eastAsia="zh-CN"/>
        </w:rPr>
        <w:t xml:space="preserve">in Cell#1 </w:t>
      </w:r>
      <w:r>
        <w:rPr>
          <w:rFonts w:hint="eastAsia"/>
          <w:lang w:eastAsia="zh-CN"/>
        </w:rPr>
        <w:t xml:space="preserve">within 8 slots in Cell#1 is 44, which is the BD limit per slot for 15KHz SCS. Averagely, each DCI scheduling DL or UL slot </w:t>
      </w:r>
      <w:r>
        <w:rPr>
          <w:lang w:eastAsia="zh-CN"/>
        </w:rPr>
        <w:t xml:space="preserve">in Cell#1 </w:t>
      </w:r>
      <w:r>
        <w:rPr>
          <w:rFonts w:hint="eastAsia"/>
          <w:lang w:eastAsia="zh-CN"/>
        </w:rPr>
        <w:t>owns 44/(8+8)=2.75 BDs. Such a small BD limit (candidate number) per DCI is likely to limit scheduling flexibility and lead to PDCCH blockage.</w:t>
      </w:r>
    </w:p>
    <w:p>
      <w:pPr>
        <w:rPr>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pPr>
        <w:jc w:val="center"/>
      </w:pPr>
      <w:r>
        <w:rPr>
          <w:lang w:eastAsia="zh-CN"/>
        </w:rPr>
        <w:drawing>
          <wp:inline distT="0" distB="0" distL="114300" distR="114300">
            <wp:extent cx="3896995" cy="1685290"/>
            <wp:effectExtent l="0" t="0" r="444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8"/>
                    <a:stretch>
                      <a:fillRect/>
                    </a:stretch>
                  </pic:blipFill>
                  <pic:spPr>
                    <a:xfrm>
                      <a:off x="0" y="0"/>
                      <a:ext cx="3896995" cy="1685290"/>
                    </a:xfrm>
                    <a:prstGeom prst="rect">
                      <a:avLst/>
                    </a:prstGeom>
                    <a:noFill/>
                    <a:ln>
                      <a:noFill/>
                    </a:ln>
                  </pic:spPr>
                </pic:pic>
              </a:graphicData>
            </a:graphic>
          </wp:inline>
        </w:drawing>
      </w:r>
    </w:p>
    <w:p>
      <w:pPr>
        <w:pStyle w:val="30"/>
        <w:jc w:val="center"/>
        <w:rPr>
          <w:lang w:eastAsia="zh-CN"/>
        </w:rPr>
      </w:pPr>
      <w:bookmarkStart w:id="3" w:name="_Ref9561"/>
      <w:r>
        <w:t xml:space="preserve">Figure </w:t>
      </w:r>
      <w:r>
        <w:fldChar w:fldCharType="begin"/>
      </w:r>
      <w:r>
        <w:instrText xml:space="preserve"> SEQ Figure \* ARABIC </w:instrText>
      </w:r>
      <w:r>
        <w:fldChar w:fldCharType="separate"/>
      </w:r>
      <w:r>
        <w:t>1</w:t>
      </w:r>
      <w:r>
        <w:fldChar w:fldCharType="end"/>
      </w:r>
      <w:bookmarkEnd w:id="3"/>
      <w:r>
        <w:rPr>
          <w:rFonts w:hint="eastAsia"/>
          <w:lang w:eastAsia="zh-CN"/>
        </w:rPr>
        <w:t>. 15KHz Cell cross-carrier schedules 120KHz Cell</w:t>
      </w:r>
    </w:p>
    <w:p>
      <w:pPr>
        <w:rPr>
          <w:lang w:eastAsia="zh-CN"/>
        </w:rPr>
      </w:pPr>
    </w:p>
    <w:p>
      <w:pPr>
        <w:rPr>
          <w:lang w:eastAsia="zh-CN"/>
        </w:rPr>
      </w:pPr>
      <w:r>
        <w:rPr>
          <w:rFonts w:hint="eastAsia"/>
          <w:lang w:eastAsia="zh-CN"/>
        </w:rPr>
        <w:t>In case of one</w:t>
      </w:r>
      <w:r>
        <w:t xml:space="preserve"> lower SCS PDCCH scheduling a higher SCS PDSCH</w:t>
      </w:r>
      <w:r>
        <w:rPr>
          <w:rFonts w:hint="eastAsia"/>
          <w:lang w:eastAsia="zh-CN"/>
        </w:rPr>
        <w:t xml:space="preserve">, multi-slot scheduling seems to be a </w:t>
      </w:r>
      <w:r>
        <w:rPr>
          <w:lang w:eastAsia="zh-CN"/>
        </w:rPr>
        <w:t>good solution</w:t>
      </w:r>
      <w:r>
        <w:rPr>
          <w:rFonts w:hint="eastAsia"/>
          <w:lang w:eastAsia="zh-CN"/>
        </w:rPr>
        <w:t xml:space="preserve"> to reduce the PDCCH blockage probability. For example, as depicted in </w:t>
      </w:r>
      <w:r>
        <w:rPr>
          <w:rFonts w:hint="eastAsia"/>
          <w:lang w:eastAsia="zh-CN"/>
        </w:rPr>
        <w:fldChar w:fldCharType="begin"/>
      </w:r>
      <w:r>
        <w:rPr>
          <w:rFonts w:hint="eastAsia"/>
          <w:lang w:eastAsia="zh-CN"/>
        </w:rPr>
        <w:instrText xml:space="preserve"> REF _Ref9639 \h </w:instrText>
      </w:r>
      <w:r>
        <w:rPr>
          <w:rFonts w:hint="eastAsia"/>
          <w:lang w:eastAsia="zh-CN"/>
        </w:rPr>
        <w:fldChar w:fldCharType="separate"/>
      </w:r>
      <w:r>
        <w:t>Figure 2</w:t>
      </w:r>
      <w:r>
        <w:rPr>
          <w:rFonts w:hint="eastAsia"/>
          <w:lang w:eastAsia="zh-CN"/>
        </w:rPr>
        <w:fldChar w:fldCharType="end"/>
      </w:r>
      <w:r>
        <w:rPr>
          <w:rFonts w:hint="eastAsia"/>
          <w:lang w:eastAsia="zh-CN"/>
        </w:rPr>
        <w:t>, one DCI can schedule 4 DL slots or 4 UL slots. Then, only 4 DCIs are enough to schedule all the 8 DL slots and 8 UL slots</w:t>
      </w:r>
      <w:r>
        <w:rPr>
          <w:lang w:eastAsia="zh-CN"/>
        </w:rPr>
        <w:t xml:space="preserve"> in Cell#1</w:t>
      </w:r>
      <w:r>
        <w:rPr>
          <w:rFonts w:hint="eastAsia"/>
          <w:lang w:eastAsia="zh-CN"/>
        </w:rPr>
        <w:t>. In this way, each DCI scheduling DL or UL slot in</w:t>
      </w:r>
      <w:r>
        <w:rPr>
          <w:lang w:eastAsia="zh-CN"/>
        </w:rPr>
        <w:t xml:space="preserve"> Cell#1 </w:t>
      </w:r>
      <w:r>
        <w:rPr>
          <w:rFonts w:hint="eastAsia"/>
          <w:lang w:eastAsia="zh-CN"/>
        </w:rPr>
        <w:t xml:space="preserve">owns 44/(2+2)= 11 BDs averagely. </w:t>
      </w:r>
    </w:p>
    <w:p>
      <w:pPr>
        <w:jc w:val="center"/>
      </w:pPr>
      <w:r>
        <w:rPr>
          <w:lang w:eastAsia="zh-CN"/>
        </w:rPr>
        <w:drawing>
          <wp:inline distT="0" distB="0" distL="114300" distR="114300">
            <wp:extent cx="3886200" cy="2480945"/>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9"/>
                    <a:stretch>
                      <a:fillRect/>
                    </a:stretch>
                  </pic:blipFill>
                  <pic:spPr>
                    <a:xfrm>
                      <a:off x="0" y="0"/>
                      <a:ext cx="3886200" cy="2480945"/>
                    </a:xfrm>
                    <a:prstGeom prst="rect">
                      <a:avLst/>
                    </a:prstGeom>
                    <a:noFill/>
                    <a:ln>
                      <a:noFill/>
                    </a:ln>
                  </pic:spPr>
                </pic:pic>
              </a:graphicData>
            </a:graphic>
          </wp:inline>
        </w:drawing>
      </w:r>
    </w:p>
    <w:p>
      <w:pPr>
        <w:pStyle w:val="30"/>
        <w:jc w:val="center"/>
        <w:rPr>
          <w:lang w:eastAsia="zh-CN"/>
        </w:rPr>
      </w:pPr>
      <w:bookmarkStart w:id="4" w:name="_Ref9639"/>
      <w:r>
        <w:t xml:space="preserve">Figure </w:t>
      </w:r>
      <w:r>
        <w:fldChar w:fldCharType="begin"/>
      </w:r>
      <w:r>
        <w:instrText xml:space="preserve"> SEQ Figure \* ARABIC </w:instrText>
      </w:r>
      <w:r>
        <w:fldChar w:fldCharType="separate"/>
      </w:r>
      <w:r>
        <w:t>2</w:t>
      </w:r>
      <w:r>
        <w:fldChar w:fldCharType="end"/>
      </w:r>
      <w:bookmarkEnd w:id="4"/>
      <w:r>
        <w:rPr>
          <w:rFonts w:hint="eastAsia"/>
          <w:lang w:eastAsia="zh-CN"/>
        </w:rPr>
        <w:t>. One DCI schedules four DL slots or four UL slots</w:t>
      </w:r>
    </w:p>
    <w:p>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pPr>
        <w:rPr>
          <w:lang w:eastAsia="zh-CN"/>
        </w:rPr>
      </w:pPr>
      <w:r>
        <w:rPr>
          <w:rFonts w:hint="eastAsia"/>
          <w:lang w:eastAsia="zh-CN"/>
        </w:rPr>
        <w:t>Although multi-slot scheduling is an attractive solution to improve the scheduling flexibility and reduce the PDCCH blockage probability, it may need lots of effort to finalize the detailed solution of multi-slot scheduling. After a quick check, at least the following issues need to be discussed prior to agree to introduce multi-slot scheduling.</w:t>
      </w:r>
    </w:p>
    <w:p>
      <w:pPr>
        <w:numPr>
          <w:ilvl w:val="0"/>
          <w:numId w:val="10"/>
        </w:numPr>
        <w:ind w:left="400" w:leftChars="200"/>
        <w:rPr>
          <w:lang w:eastAsia="zh-CN"/>
        </w:rPr>
      </w:pPr>
      <w:r>
        <w:rPr>
          <w:rFonts w:hint="eastAsia"/>
          <w:lang w:eastAsia="zh-CN"/>
        </w:rPr>
        <w:t>The maximum number of slots that one DCI can schedule;</w:t>
      </w:r>
    </w:p>
    <w:p>
      <w:pPr>
        <w:numPr>
          <w:ilvl w:val="0"/>
          <w:numId w:val="10"/>
        </w:numPr>
        <w:ind w:left="400" w:leftChars="200"/>
        <w:rPr>
          <w:lang w:eastAsia="zh-CN"/>
        </w:rPr>
      </w:pPr>
      <w:r>
        <w:rPr>
          <w:rFonts w:hint="eastAsia"/>
          <w:lang w:eastAsia="zh-CN"/>
        </w:rPr>
        <w:t xml:space="preserve">How to indicate the number of slots that </w:t>
      </w:r>
      <w:r>
        <w:rPr>
          <w:lang w:eastAsia="zh-CN"/>
        </w:rPr>
        <w:t>one</w:t>
      </w:r>
      <w:r>
        <w:rPr>
          <w:rFonts w:hint="eastAsia"/>
          <w:lang w:eastAsia="zh-CN"/>
        </w:rPr>
        <w:t xml:space="preserve"> DCI schedules.</w:t>
      </w:r>
    </w:p>
    <w:p>
      <w:pPr>
        <w:numPr>
          <w:ilvl w:val="0"/>
          <w:numId w:val="10"/>
        </w:numPr>
        <w:ind w:left="400" w:leftChars="200"/>
        <w:rPr>
          <w:lang w:eastAsia="zh-CN"/>
        </w:rPr>
      </w:pPr>
      <w:r>
        <w:rPr>
          <w:rFonts w:hint="eastAsia"/>
          <w:lang w:eastAsia="zh-CN"/>
        </w:rPr>
        <w:t>Time-domain and frequency-domain resource allocation in each slot;</w:t>
      </w:r>
    </w:p>
    <w:p>
      <w:pPr>
        <w:numPr>
          <w:ilvl w:val="0"/>
          <w:numId w:val="10"/>
        </w:numPr>
        <w:ind w:left="400" w:leftChars="200"/>
        <w:rPr>
          <w:lang w:eastAsia="zh-CN"/>
        </w:rPr>
      </w:pPr>
      <w:r>
        <w:rPr>
          <w:rFonts w:hint="eastAsia"/>
          <w:lang w:eastAsia="zh-CN"/>
        </w:rPr>
        <w:t>Each slot with separate TB or one jumbo TB for all scheduled slots;</w:t>
      </w:r>
    </w:p>
    <w:p>
      <w:pPr>
        <w:numPr>
          <w:ilvl w:val="0"/>
          <w:numId w:val="10"/>
        </w:numPr>
        <w:ind w:left="400" w:leftChars="200"/>
        <w:rPr>
          <w:lang w:eastAsia="zh-CN"/>
        </w:rPr>
      </w:pPr>
      <w:r>
        <w:rPr>
          <w:rFonts w:hint="eastAsia"/>
          <w:lang w:eastAsia="zh-CN"/>
        </w:rPr>
        <w:t>Construction of semi-static HARQ-ACK codebook and dynamic HARQ-ACK codebook;</w:t>
      </w:r>
    </w:p>
    <w:p>
      <w:pPr>
        <w:numPr>
          <w:ilvl w:val="0"/>
          <w:numId w:val="10"/>
        </w:numPr>
        <w:ind w:left="400" w:leftChars="200"/>
        <w:rPr>
          <w:lang w:eastAsia="zh-CN"/>
        </w:rPr>
      </w:pPr>
      <w:r>
        <w:rPr>
          <w:rFonts w:hint="eastAsia"/>
          <w:lang w:eastAsia="zh-CN"/>
        </w:rPr>
        <w:t>How to make multi-slot scheduling be compatible with CBG-based transmission, e.g., how to interpret CBGTI and CBGFI field in scheduling DCI;</w:t>
      </w:r>
    </w:p>
    <w:p>
      <w:pPr>
        <w:numPr>
          <w:ilvl w:val="0"/>
          <w:numId w:val="10"/>
        </w:numPr>
        <w:ind w:left="400" w:leftChars="200"/>
        <w:rPr>
          <w:lang w:eastAsia="zh-CN"/>
        </w:rPr>
      </w:pPr>
      <w:r>
        <w:rPr>
          <w:lang w:eastAsia="zh-CN"/>
        </w:rPr>
        <w:t>QCL indication for each slot;</w:t>
      </w:r>
    </w:p>
    <w:p>
      <w:pPr>
        <w:numPr>
          <w:ilvl w:val="0"/>
          <w:numId w:val="10"/>
        </w:numPr>
        <w:ind w:left="400" w:leftChars="200"/>
        <w:rPr>
          <w:lang w:eastAsia="zh-CN"/>
        </w:rPr>
      </w:pPr>
      <w:r>
        <w:rPr>
          <w:rFonts w:hint="eastAsia"/>
          <w:lang w:eastAsia="zh-CN"/>
        </w:rPr>
        <w:t>The detailed DCI design used for multi-slot scheduling.</w:t>
      </w:r>
    </w:p>
    <w:p>
      <w:pPr>
        <w:rPr>
          <w:lang w:eastAsia="zh-CN"/>
        </w:rPr>
      </w:pPr>
      <w:r>
        <w:rPr>
          <w:rFonts w:hint="eastAsia"/>
          <w:lang w:eastAsia="zh-CN"/>
        </w:rPr>
        <w:t>Considering a</w:t>
      </w:r>
      <w:r>
        <w:rPr>
          <w:lang w:eastAsia="zh-CN"/>
        </w:rPr>
        <w:t xml:space="preserve">ll the above issues related to multi-slot scheduling, the </w:t>
      </w:r>
      <w:r>
        <w:rPr>
          <w:rFonts w:hint="eastAsia"/>
          <w:lang w:eastAsia="zh-CN"/>
        </w:rPr>
        <w:t>limited time schedule for this agenda item</w:t>
      </w:r>
      <w:r>
        <w:rPr>
          <w:lang w:eastAsia="zh-CN"/>
        </w:rPr>
        <w:t xml:space="preserve"> may be not sufficient.</w:t>
      </w:r>
    </w:p>
    <w:p>
      <w:pPr>
        <w:pStyle w:val="3"/>
        <w:rPr>
          <w:lang w:val="en-US" w:eastAsia="zh-CN"/>
        </w:rPr>
      </w:pPr>
      <w:r>
        <w:rPr>
          <w:rFonts w:hint="eastAsia"/>
          <w:lang w:val="en-US" w:eastAsia="zh-CN"/>
        </w:rPr>
        <w:t>Solutions on multi-slot scheduling</w:t>
      </w:r>
    </w:p>
    <w:p>
      <w:pPr>
        <w:pStyle w:val="4"/>
        <w:rPr>
          <w:lang w:eastAsia="zh-CN"/>
        </w:rPr>
      </w:pPr>
      <w:r>
        <w:rPr>
          <w:rFonts w:hint="eastAsia"/>
          <w:lang w:eastAsia="zh-CN"/>
        </w:rPr>
        <w:t>N</w:t>
      </w:r>
      <w:r>
        <w:rPr>
          <w:lang w:eastAsia="zh-CN"/>
        </w:rPr>
        <w:t>umber of scheduled slots</w:t>
      </w:r>
    </w:p>
    <w:p>
      <w:pPr>
        <w:rPr>
          <w:lang w:eastAsia="zh-CN"/>
        </w:rPr>
      </w:pPr>
      <w:r>
        <w:rPr>
          <w:rFonts w:hint="eastAsia"/>
          <w:lang w:eastAsia="zh-CN"/>
        </w:rPr>
        <w:t>One of the most important issues on multi-slot scheduling is how to determine the maximum number of slots one DCI can schedule once and how to indicate the number of schedul</w:t>
      </w:r>
      <w:r>
        <w:rPr>
          <w:lang w:eastAsia="zh-CN"/>
        </w:rPr>
        <w:t>ed</w:t>
      </w:r>
      <w:r>
        <w:rPr>
          <w:rFonts w:hint="eastAsia"/>
          <w:lang w:eastAsia="zh-CN"/>
        </w:rPr>
        <w:t xml:space="preserve"> slots.</w:t>
      </w:r>
    </w:p>
    <w:p>
      <w:pPr>
        <w:rPr>
          <w:lang w:eastAsia="zh-CN"/>
        </w:rPr>
      </w:pPr>
      <w:r>
        <w:rPr>
          <w:rFonts w:hint="eastAsia"/>
          <w:lang w:eastAsia="zh-CN"/>
        </w:rPr>
        <w:t>Since multi-slot scheduling may mainly b</w:t>
      </w:r>
      <w:r>
        <w:rPr>
          <w:lang w:eastAsia="zh-CN"/>
        </w:rPr>
        <w:t xml:space="preserve">e </w:t>
      </w:r>
      <w:r>
        <w:rPr>
          <w:rFonts w:hint="eastAsia"/>
          <w:lang w:eastAsia="zh-CN"/>
        </w:rPr>
        <w:t xml:space="preserve">used in the </w:t>
      </w:r>
      <w:r>
        <w:rPr>
          <w:lang w:eastAsia="zh-CN"/>
        </w:rPr>
        <w:t>scenario</w:t>
      </w:r>
      <w:r>
        <w:rPr>
          <w:rFonts w:hint="eastAsia"/>
          <w:lang w:eastAsia="zh-CN"/>
        </w:rPr>
        <w:t xml:space="preserve"> of cross-carrier scheduling, especially the case of a lower SCS PDCCH schedules a higher SCS PDSCH, it is natural to take the numerology of PDCCH and numerology of PDSCH into consideration to determine the maximum number of slots one DCI can schedule once.</w:t>
      </w:r>
    </w:p>
    <w:p>
      <w:pPr>
        <w:rPr>
          <w:lang w:eastAsia="zh-CN"/>
        </w:rPr>
      </w:pPr>
      <w:r>
        <w:rPr>
          <w:rFonts w:hint="eastAsia"/>
          <w:lang w:eastAsia="zh-CN"/>
        </w:rPr>
        <w:t>A</w:t>
      </w:r>
      <w:r>
        <w:rPr>
          <w:lang w:eastAsia="zh-CN"/>
        </w:rPr>
        <w:t xml:space="preserve">ssuming that </w:t>
      </w:r>
      <m:oMath>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PDSCH</m:t>
            </m:r>
            <m:ctrlPr>
              <w:rPr>
                <w:rFonts w:ascii="Cambria Math" w:hAnsi="Cambria Math"/>
                <w:lang w:eastAsia="zh-CN"/>
              </w:rPr>
            </m:ctrlP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PDCCH</m:t>
            </m:r>
            <m:ctrlPr>
              <w:rPr>
                <w:rFonts w:ascii="Cambria Math" w:hAnsi="Cambria Math"/>
                <w:lang w:eastAsia="zh-CN"/>
              </w:rPr>
            </m:ctrlPr>
          </m:sub>
        </m:sSub>
      </m:oMath>
      <w:r>
        <w:rPr>
          <w:rFonts w:hint="eastAsia"/>
          <w:lang w:eastAsia="zh-CN"/>
        </w:rPr>
        <w:t xml:space="preserve"> </w:t>
      </w:r>
      <w:r>
        <w:rPr>
          <w:lang w:eastAsia="zh-CN"/>
        </w:rPr>
        <w:t xml:space="preserve">are the numerology of PDSCH and numerology of the corresponding PDCCH respectively, from network scheduling perspective, one DCI once scheduling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PDSCH</m:t>
                    </m:r>
                    <m:ctrlPr>
                      <w:rPr>
                        <w:rFonts w:ascii="Cambria Math" w:hAnsi="Cambria Math"/>
                        <w:lang w:eastAsia="zh-CN"/>
                      </w:rPr>
                    </m:ctrlPr>
                  </m:sub>
                </m:sSub>
                <m:ctrlPr>
                  <w:rPr>
                    <w:rFonts w:ascii="Cambria Math" w:hAnsi="Cambria Math"/>
                    <w:i/>
                    <w:lang w:eastAsia="zh-CN"/>
                  </w:rPr>
                </m:ctrlPr>
              </m:sup>
            </m:sSup>
            <m:ctrlPr>
              <w:rPr>
                <w:rFonts w:ascii="Cambria Math" w:hAnsi="Cambria Math"/>
                <w:lang w:eastAsia="zh-CN"/>
              </w:rPr>
            </m:ctrlPr>
          </m:num>
          <m:den>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PDCCH</m:t>
                    </m:r>
                    <m:ctrlPr>
                      <w:rPr>
                        <w:rFonts w:ascii="Cambria Math" w:hAnsi="Cambria Math"/>
                        <w:lang w:eastAsia="zh-CN"/>
                      </w:rPr>
                    </m:ctrlPr>
                  </m:sub>
                </m:sSub>
                <m:ctrlPr>
                  <w:rPr>
                    <w:rFonts w:ascii="Cambria Math" w:hAnsi="Cambria Math"/>
                    <w:i/>
                    <w:lang w:eastAsia="zh-CN"/>
                  </w:rPr>
                </m:ctrlPr>
              </m:sup>
            </m:sSup>
            <m:ctrlPr>
              <w:rPr>
                <w:rFonts w:ascii="Cambria Math" w:hAnsi="Cambria Math"/>
                <w:lang w:eastAsia="zh-CN"/>
              </w:rPr>
            </m:ctrlPr>
          </m:den>
        </m:f>
      </m:oMath>
      <w:r>
        <w:rPr>
          <w:rFonts w:hint="eastAsia"/>
          <w:lang w:eastAsia="zh-CN"/>
        </w:rPr>
        <w:t xml:space="preserve"> </w:t>
      </w:r>
      <w:r>
        <w:rPr>
          <w:lang w:eastAsia="zh-CN"/>
        </w:rPr>
        <w:t xml:space="preserve">slots should suffice. As depicted in </w:t>
      </w:r>
      <w:r>
        <w:rPr>
          <w:lang w:eastAsia="zh-CN"/>
        </w:rPr>
        <w:fldChar w:fldCharType="begin"/>
      </w:r>
      <w:r>
        <w:rPr>
          <w:lang w:eastAsia="zh-CN"/>
        </w:rPr>
        <w:instrText xml:space="preserve"> REF _Ref4487392 \h </w:instrText>
      </w:r>
      <w:r>
        <w:rPr>
          <w:lang w:eastAsia="zh-CN"/>
        </w:rPr>
        <w:fldChar w:fldCharType="separate"/>
      </w:r>
      <w:r>
        <w:t>Figure 3</w:t>
      </w:r>
      <w:r>
        <w:rPr>
          <w:lang w:eastAsia="zh-CN"/>
        </w:rPr>
        <w:fldChar w:fldCharType="end"/>
      </w:r>
      <w:r>
        <w:rPr>
          <w:lang w:eastAsia="zh-CN"/>
        </w:rPr>
        <w:t>, one 15 KHz SCS DCI can schedule up to 2 continuous 30KHz SCS DL/UL slots; one 15 KHz SCS DCI can schedule up to 4 continuous 60KHz SCS DL/UL slots; one 15 KHz SCS DCI can schedule up to 8 continuous 120KHz SCS DL/UL slots.</w:t>
      </w:r>
    </w:p>
    <w:p>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PDSCH</m:t>
                    </m:r>
                    <m:ctrlPr>
                      <w:rPr>
                        <w:rFonts w:ascii="Cambria Math" w:hAnsi="Cambria Math"/>
                        <w:lang w:eastAsia="zh-CN"/>
                      </w:rPr>
                    </m:ctrlPr>
                  </m:sub>
                </m:sSub>
                <m:ctrlPr>
                  <w:rPr>
                    <w:rFonts w:ascii="Cambria Math" w:hAnsi="Cambria Math"/>
                    <w:i/>
                    <w:lang w:eastAsia="zh-CN"/>
                  </w:rPr>
                </m:ctrlPr>
              </m:sup>
            </m:sSup>
            <m:ctrlPr>
              <w:rPr>
                <w:rFonts w:ascii="Cambria Math" w:hAnsi="Cambria Math"/>
                <w:lang w:eastAsia="zh-CN"/>
              </w:rPr>
            </m:ctrlPr>
          </m:num>
          <m:den>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PDCCH</m:t>
                    </m:r>
                    <m:ctrlPr>
                      <w:rPr>
                        <w:rFonts w:ascii="Cambria Math" w:hAnsi="Cambria Math"/>
                        <w:lang w:eastAsia="zh-CN"/>
                      </w:rPr>
                    </m:ctrlPr>
                  </m:sub>
                </m:sSub>
                <m:ctrlPr>
                  <w:rPr>
                    <w:rFonts w:ascii="Cambria Math" w:hAnsi="Cambria Math"/>
                    <w:i/>
                    <w:lang w:eastAsia="zh-CN"/>
                  </w:rPr>
                </m:ctrlPr>
              </m:sup>
            </m:sSup>
            <m:ctrlPr>
              <w:rPr>
                <w:rFonts w:ascii="Cambria Math" w:hAnsi="Cambria Math"/>
                <w:lang w:eastAsia="zh-CN"/>
              </w:rPr>
            </m:ctrlPr>
          </m:den>
        </m:f>
      </m:oMath>
      <w:r>
        <w:rPr>
          <w:i/>
          <w:lang w:eastAsia="zh-CN"/>
        </w:rPr>
        <w:t xml:space="preserve"> DL/UL slots.</w:t>
      </w:r>
    </w:p>
    <w:p>
      <w:pPr>
        <w:jc w:val="center"/>
        <w:rPr>
          <w:lang w:eastAsia="zh-CN"/>
        </w:rPr>
      </w:pPr>
      <w:r>
        <w:rPr>
          <w:lang w:eastAsia="zh-CN"/>
        </w:rPr>
        <w:drawing>
          <wp:inline distT="0" distB="0" distL="0" distR="0">
            <wp:extent cx="5473065" cy="1028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97237" cy="1052303"/>
                    </a:xfrm>
                    <a:prstGeom prst="rect">
                      <a:avLst/>
                    </a:prstGeom>
                    <a:noFill/>
                  </pic:spPr>
                </pic:pic>
              </a:graphicData>
            </a:graphic>
          </wp:inline>
        </w:drawing>
      </w:r>
    </w:p>
    <w:p>
      <w:pPr>
        <w:pStyle w:val="30"/>
        <w:jc w:val="center"/>
        <w:rPr>
          <w:lang w:eastAsia="zh-CN"/>
        </w:rPr>
      </w:pPr>
      <w:bookmarkStart w:id="5" w:name="_Ref4487392"/>
      <w:r>
        <w:t xml:space="preserve">Figure </w:t>
      </w:r>
      <w:r>
        <w:fldChar w:fldCharType="begin"/>
      </w:r>
      <w:r>
        <w:instrText xml:space="preserve"> SEQ Figure \* ARABIC </w:instrText>
      </w:r>
      <w:r>
        <w:fldChar w:fldCharType="separate"/>
      </w:r>
      <w:r>
        <w:t>3</w:t>
      </w:r>
      <w:r>
        <w:fldChar w:fldCharType="end"/>
      </w:r>
      <w:bookmarkEnd w:id="5"/>
      <w:r>
        <w:rPr>
          <w:rFonts w:hint="eastAsia"/>
          <w:lang w:eastAsia="zh-CN"/>
        </w:rPr>
        <w:t xml:space="preserve">. </w:t>
      </w:r>
      <w:r>
        <w:rPr>
          <w:lang w:eastAsia="zh-CN"/>
        </w:rPr>
        <w:t>The maximum number of slots that one DCI can schedule once</w:t>
      </w:r>
    </w:p>
    <w:p>
      <w:pPr>
        <w:rPr>
          <w:lang w:eastAsia="zh-CN"/>
        </w:rPr>
      </w:pPr>
      <w:r>
        <w:rPr>
          <w:lang w:eastAsia="zh-CN"/>
        </w:rPr>
        <w:t xml:space="preserve">One solution to indicate the number of scheduled DL/UL slots is to add it in the RRC configuration IE, i.e., </w:t>
      </w:r>
      <w:r>
        <w:rPr>
          <w:i/>
        </w:rPr>
        <w:t>PDSCH-TimeDomainResourceAllocation</w:t>
      </w:r>
      <w:r>
        <w:rPr>
          <w:lang w:eastAsia="zh-CN"/>
        </w:rPr>
        <w:t xml:space="preserve">. In this way, the DCI filed </w:t>
      </w:r>
      <w:r>
        <w:rPr>
          <w:i/>
          <w:lang w:eastAsia="zh-CN"/>
        </w:rPr>
        <w:t>Time domain resource assignment</w:t>
      </w:r>
      <w:r>
        <w:rPr>
          <w:lang w:eastAsia="zh-CN"/>
        </w:rPr>
        <w:t xml:space="preserve"> can acquire the number of scheduled slots. This can avoid introducing new bit filed in the multi-slot scheduling DCI to indicate the scheduled slots.</w:t>
      </w:r>
    </w:p>
    <w:p>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PDSCH-TimeDomainResourceAllocation.</w:t>
      </w:r>
    </w:p>
    <w:p>
      <w:pPr>
        <w:pStyle w:val="4"/>
        <w:rPr>
          <w:lang w:eastAsia="zh-CN"/>
        </w:rPr>
      </w:pPr>
      <w:r>
        <w:rPr>
          <w:lang w:eastAsia="zh-CN"/>
        </w:rPr>
        <w:t>QCL assumption</w:t>
      </w:r>
    </w:p>
    <w:p>
      <w:pPr>
        <w:rPr>
          <w:lang w:val="en-GB" w:eastAsia="zh-CN"/>
        </w:rPr>
      </w:pPr>
      <w:r>
        <w:rPr>
          <w:lang w:val="en-GB" w:eastAsia="zh-CN"/>
        </w:rPr>
        <w:t>If one DCI can schedule multiple PDSCH in multiple slots, gNB may indicate different TCI states for different PDSCHs in different slots. This is beneficial to acquire beam diversity and enable scheduling flexibility in multi-beam operation. In Rel-15, 3 bits are used to indicate the TCI state of its corresponding PDSCH. In case of multi-slot scheduling, if one DCI can schedule up to N slots, then 3*N bits are needed to indicate the TCI state of each scheduled slot. This will obviously increase the DCI payload size.</w:t>
      </w:r>
    </w:p>
    <w:p>
      <w:pPr>
        <w:rPr>
          <w:lang w:val="en-GB" w:eastAsia="zh-CN"/>
        </w:rPr>
      </w:pPr>
      <w:r>
        <w:rPr>
          <w:rFonts w:hint="eastAsia"/>
          <w:lang w:val="en-GB" w:eastAsia="zh-CN"/>
        </w:rPr>
        <w:t>T</w:t>
      </w:r>
      <w:r>
        <w:rPr>
          <w:lang w:val="en-GB" w:eastAsia="zh-CN"/>
        </w:rPr>
        <w:t>o keep bits indicating TCI state of each scheduled slot within a moderate level, a group of TCI states can be put into a TCI state set and each codepoint in the scheduling DCI corresponds to one set of TCI states. Each TCI state within the determined set corresponds to the TCI state of each scheduled PDSCH. In Rel-16 NR MIMO WI, the following agreement has been reached.</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0" w:line="240" w:lineRule="auto"/>
              <w:rPr>
                <w:rFonts w:ascii="New York" w:hAnsi="New York"/>
              </w:rPr>
            </w:pPr>
            <w:r>
              <w:rPr>
                <w:rFonts w:ascii="New York" w:hAnsi="New York"/>
                <w:highlight w:val="green"/>
              </w:rPr>
              <w:t>Agreements</w:t>
            </w:r>
            <w:r>
              <w:rPr>
                <w:rFonts w:ascii="New York" w:hAnsi="New York"/>
              </w:rPr>
              <w:t>:</w:t>
            </w:r>
          </w:p>
          <w:p>
            <w:pPr>
              <w:spacing w:before="0" w:after="0" w:line="240" w:lineRule="auto"/>
              <w:rPr>
                <w:rFonts w:ascii="New York" w:hAnsi="New York"/>
              </w:rPr>
            </w:pPr>
            <w:r>
              <w:rPr>
                <w:rFonts w:ascii="New York" w:hAnsi="New York"/>
              </w:rPr>
              <w:t xml:space="preserve">TCI indication framework shall be enhanced in Rel-16 at least for eMBB: </w:t>
            </w:r>
          </w:p>
          <w:p>
            <w:pPr>
              <w:numPr>
                <w:ilvl w:val="0"/>
                <w:numId w:val="11"/>
              </w:numPr>
              <w:overflowPunct/>
              <w:autoSpaceDE/>
              <w:autoSpaceDN/>
              <w:adjustRightInd/>
              <w:spacing w:before="0" w:after="0" w:line="240" w:lineRule="auto"/>
              <w:contextualSpacing/>
              <w:textAlignment w:val="auto"/>
              <w:rPr>
                <w:rFonts w:ascii="New York" w:hAnsi="New York"/>
              </w:rPr>
            </w:pPr>
            <w:r>
              <w:rPr>
                <w:rFonts w:ascii="New York" w:hAnsi="New York"/>
              </w:rPr>
              <w:t xml:space="preserve">Each TCI code point in a DCI can correspond to 1 or 2 TCI states </w:t>
            </w:r>
          </w:p>
          <w:p>
            <w:pPr>
              <w:numPr>
                <w:ilvl w:val="1"/>
                <w:numId w:val="11"/>
              </w:numPr>
              <w:overflowPunct/>
              <w:autoSpaceDE/>
              <w:autoSpaceDN/>
              <w:adjustRightInd/>
              <w:spacing w:before="0" w:after="0" w:line="240" w:lineRule="auto"/>
              <w:contextualSpacing/>
              <w:textAlignment w:val="auto"/>
              <w:rPr>
                <w:rFonts w:ascii="New York" w:hAnsi="New York"/>
              </w:rPr>
            </w:pPr>
            <w:r>
              <w:rPr>
                <w:rFonts w:ascii="New York" w:hAnsi="New York"/>
              </w:rPr>
              <w:t xml:space="preserve">When 2 TCI states are activated within a TCI code point, each TCI state corresponds to one CDM group, at least for DMRS type 1 </w:t>
            </w:r>
          </w:p>
          <w:p>
            <w:pPr>
              <w:numPr>
                <w:ilvl w:val="2"/>
                <w:numId w:val="11"/>
              </w:numPr>
              <w:overflowPunct/>
              <w:autoSpaceDE/>
              <w:autoSpaceDN/>
              <w:adjustRightInd/>
              <w:spacing w:before="0" w:after="0" w:line="240" w:lineRule="auto"/>
              <w:contextualSpacing/>
              <w:textAlignment w:val="auto"/>
              <w:rPr>
                <w:rFonts w:ascii="New York" w:hAnsi="New York"/>
              </w:rPr>
            </w:pPr>
            <w:r>
              <w:rPr>
                <w:rFonts w:ascii="New York" w:hAnsi="New York"/>
              </w:rPr>
              <w:t>FFS design for DMRS type 2</w:t>
            </w:r>
          </w:p>
          <w:p>
            <w:pPr>
              <w:numPr>
                <w:ilvl w:val="1"/>
                <w:numId w:val="11"/>
              </w:numPr>
              <w:overflowPunct/>
              <w:autoSpaceDE/>
              <w:autoSpaceDN/>
              <w:adjustRightInd/>
              <w:spacing w:before="0" w:after="0" w:line="240" w:lineRule="auto"/>
              <w:contextualSpacing/>
              <w:textAlignment w:val="auto"/>
              <w:rPr>
                <w:rFonts w:ascii="New York" w:hAnsi="New York"/>
              </w:rPr>
            </w:pPr>
            <w:r>
              <w:rPr>
                <w:rFonts w:ascii="New York" w:hAnsi="New York"/>
              </w:rPr>
              <w:t>FFS: TCI field in DCI, and associated MAC-CE signaling impact</w:t>
            </w:r>
          </w:p>
        </w:tc>
      </w:tr>
    </w:tbl>
    <w:p>
      <w:pPr>
        <w:rPr>
          <w:lang w:val="en-GB" w:eastAsia="zh-CN"/>
        </w:rPr>
      </w:pPr>
    </w:p>
    <w:p>
      <w:pPr>
        <w:rPr>
          <w:lang w:val="en-GB" w:eastAsia="zh-CN"/>
        </w:rPr>
      </w:pPr>
      <w:r>
        <w:rPr>
          <w:rFonts w:hint="eastAsia"/>
          <w:lang w:eastAsia="zh-CN"/>
        </w:rPr>
        <w:t xml:space="preserve">Therefore, it has been agreed to support one TCI codepoint corresponding to 2 TCI states. </w:t>
      </w:r>
      <w:r>
        <w:rPr>
          <w:lang w:eastAsia="zh-CN"/>
        </w:rPr>
        <w:t xml:space="preserve">This can be easily extended to support up to 4 TCI states for each TCI codepoint in case of multi-slot scheduling.  </w:t>
      </w:r>
    </w:p>
    <w:p>
      <w:pPr>
        <w:rPr>
          <w:lang w:val="en-GB" w:eastAsia="zh-CN"/>
        </w:rPr>
      </w:pPr>
      <w:r>
        <w:rPr>
          <w:lang w:val="en-GB" w:eastAsia="zh-CN"/>
        </w:rPr>
        <w:t>For example, four TCI state sets are defined as below. One DCI can schedule up to 4 slots once. In this case, we can assume that codepoint “00” in scheduling DCI refers to the Set#0, codepoint “01” in scheduling DCI refers to the Set#1, codepoint “10” in scheduling DCI refers to the Set#2 and codepoint “11” in scheduling DCI refers to the Set#3. If bit field in scheduling DCI refers to Set#1, then the TCI state of the first scheduled PDSCH is TCI state 1, the TCI state of the second scheduled PDSCH is TCI state 2, the TCI state of the third scheduled PDSCH is TCI state 3 and the TCI state of the forth scheduled PDSCH is TCI state 4.</w:t>
      </w:r>
    </w:p>
    <w:p>
      <w:pPr>
        <w:pStyle w:val="114"/>
        <w:numPr>
          <w:ilvl w:val="0"/>
          <w:numId w:val="12"/>
        </w:numPr>
        <w:rPr>
          <w:lang w:eastAsia="zh-CN"/>
        </w:rPr>
      </w:pPr>
      <w:r>
        <w:rPr>
          <w:lang w:eastAsia="zh-CN"/>
        </w:rPr>
        <w:t>Set#0: {TCI state 1, TCI state 1, TCI state 2, TCI state2}</w:t>
      </w:r>
    </w:p>
    <w:p>
      <w:pPr>
        <w:pStyle w:val="114"/>
        <w:numPr>
          <w:ilvl w:val="0"/>
          <w:numId w:val="12"/>
        </w:numPr>
        <w:rPr>
          <w:lang w:eastAsia="zh-CN"/>
        </w:rPr>
      </w:pPr>
      <w:r>
        <w:rPr>
          <w:lang w:eastAsia="zh-CN"/>
        </w:rPr>
        <w:t>Set#1: {TCI state 1, TCI state 2, TCI state 3, TCI state4}</w:t>
      </w:r>
    </w:p>
    <w:p>
      <w:pPr>
        <w:pStyle w:val="114"/>
        <w:numPr>
          <w:ilvl w:val="0"/>
          <w:numId w:val="12"/>
        </w:numPr>
        <w:rPr>
          <w:lang w:eastAsia="zh-CN"/>
        </w:rPr>
      </w:pPr>
      <w:r>
        <w:rPr>
          <w:lang w:eastAsia="zh-CN"/>
        </w:rPr>
        <w:t>Set#2: {TCI state 2, TCI state 1, TCI state 2, TCI state1}</w:t>
      </w:r>
    </w:p>
    <w:p>
      <w:pPr>
        <w:pStyle w:val="114"/>
        <w:numPr>
          <w:ilvl w:val="0"/>
          <w:numId w:val="12"/>
        </w:numPr>
        <w:rPr>
          <w:lang w:eastAsia="zh-CN"/>
        </w:rPr>
      </w:pPr>
      <w:r>
        <w:rPr>
          <w:lang w:eastAsia="zh-CN"/>
        </w:rPr>
        <w:t>Set#3: {TCI state 1, TCI state 1, TCI state 1, TCI state1}</w:t>
      </w:r>
    </w:p>
    <w:p>
      <w:pPr>
        <w:jc w:val="center"/>
        <w:rPr>
          <w:lang w:eastAsia="zh-CN"/>
        </w:rPr>
      </w:pPr>
      <w:r>
        <w:rPr>
          <w:lang w:eastAsia="zh-CN"/>
        </w:rPr>
        <w:drawing>
          <wp:inline distT="0" distB="0" distL="0" distR="0">
            <wp:extent cx="3678555" cy="13265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96151" cy="1332961"/>
                    </a:xfrm>
                    <a:prstGeom prst="rect">
                      <a:avLst/>
                    </a:prstGeom>
                    <a:noFill/>
                  </pic:spPr>
                </pic:pic>
              </a:graphicData>
            </a:graphic>
          </wp:inline>
        </w:drawing>
      </w:r>
    </w:p>
    <w:p>
      <w:pPr>
        <w:pStyle w:val="30"/>
        <w:jc w:val="center"/>
        <w:rPr>
          <w:lang w:eastAsia="zh-CN"/>
        </w:rPr>
      </w:pPr>
      <w:r>
        <w:t xml:space="preserve">Figure </w:t>
      </w:r>
      <w:r>
        <w:fldChar w:fldCharType="begin"/>
      </w:r>
      <w:r>
        <w:instrText xml:space="preserve"> SEQ Figure \* ARABIC </w:instrText>
      </w:r>
      <w:r>
        <w:fldChar w:fldCharType="separate"/>
      </w:r>
      <w:r>
        <w:t>4</w:t>
      </w:r>
      <w:r>
        <w:fldChar w:fldCharType="end"/>
      </w:r>
      <w:r>
        <w:rPr>
          <w:rFonts w:hint="eastAsia"/>
          <w:lang w:eastAsia="zh-CN"/>
        </w:rPr>
        <w:t xml:space="preserve">. </w:t>
      </w:r>
      <w:r>
        <w:rPr>
          <w:lang w:eastAsia="zh-CN"/>
        </w:rPr>
        <w:t>Multi-slot scheduling DCI indicates the TCI state set.</w:t>
      </w:r>
    </w:p>
    <w:p>
      <w:pPr>
        <w:rPr>
          <w:lang w:eastAsia="zh-CN"/>
        </w:rPr>
      </w:pPr>
      <w:r>
        <w:rPr>
          <w:rFonts w:hint="eastAsia"/>
          <w:lang w:eastAsia="zh-CN"/>
        </w:rPr>
        <w:t>T</w:t>
      </w:r>
      <w:r>
        <w:rPr>
          <w:lang w:eastAsia="zh-CN"/>
        </w:rPr>
        <w:t>he TCI state sets can be pre-defined by RRC configuration. If RRC configures too many TCI state sets, MAC CE can be used to activate some of sets.</w:t>
      </w:r>
    </w:p>
    <w:p>
      <w:pPr>
        <w:rPr>
          <w:i/>
          <w:lang w:eastAsia="zh-CN"/>
        </w:rPr>
      </w:pPr>
      <w:r>
        <w:rPr>
          <w:rFonts w:hint="eastAsia"/>
          <w:b/>
          <w:i/>
          <w:lang w:eastAsia="zh-CN"/>
        </w:rPr>
        <w:t>P</w:t>
      </w:r>
      <w:r>
        <w:rPr>
          <w:b/>
          <w:i/>
          <w:lang w:eastAsia="zh-CN"/>
        </w:rPr>
        <w:t>roposal</w:t>
      </w:r>
      <w:r>
        <w:rPr>
          <w:i/>
          <w:lang w:eastAsia="zh-CN"/>
        </w:rPr>
        <w:t xml:space="preserve"> 3: To support multi-slot scheduling,</w:t>
      </w:r>
    </w:p>
    <w:p>
      <w:pPr>
        <w:numPr>
          <w:ilvl w:val="0"/>
          <w:numId w:val="13"/>
        </w:numPr>
        <w:ind w:left="840"/>
        <w:rPr>
          <w:i/>
          <w:lang w:eastAsia="zh-CN"/>
        </w:rPr>
      </w:pPr>
      <w:r>
        <w:rPr>
          <w:rFonts w:hint="eastAsia"/>
          <w:i/>
          <w:lang w:eastAsia="zh-CN"/>
        </w:rPr>
        <w:t>A</w:t>
      </w:r>
      <w:r>
        <w:rPr>
          <w:i/>
          <w:lang w:eastAsia="zh-CN"/>
        </w:rPr>
        <w:t xml:space="preserve"> group of TCI states can be put into a TCI state set;</w:t>
      </w:r>
    </w:p>
    <w:p>
      <w:pPr>
        <w:numPr>
          <w:ilvl w:val="0"/>
          <w:numId w:val="13"/>
        </w:numPr>
        <w:ind w:left="840"/>
        <w:rPr>
          <w:i/>
          <w:lang w:eastAsia="zh-CN"/>
        </w:rPr>
      </w:pPr>
      <w:r>
        <w:rPr>
          <w:i/>
          <w:lang w:eastAsia="zh-CN"/>
        </w:rPr>
        <w:t>Each DCI codepoint in the scheduling DCI corresponds to one of the configured TCI state sets;</w:t>
      </w:r>
    </w:p>
    <w:p>
      <w:pPr>
        <w:numPr>
          <w:ilvl w:val="0"/>
          <w:numId w:val="13"/>
        </w:numPr>
        <w:ind w:left="840"/>
        <w:rPr>
          <w:i/>
          <w:lang w:val="en-GB" w:eastAsia="zh-CN"/>
        </w:rPr>
      </w:pPr>
      <w:r>
        <w:rPr>
          <w:i/>
          <w:lang w:val="en-GB" w:eastAsia="zh-CN"/>
        </w:rPr>
        <w:t>Each TCI state within the determined set corresponds to the TCI state of each scheduled slot.</w:t>
      </w:r>
    </w:p>
    <w:p>
      <w:pPr>
        <w:pStyle w:val="2"/>
        <w:rPr>
          <w:lang w:eastAsia="zh-CN"/>
        </w:rPr>
      </w:pPr>
      <w:r>
        <w:rPr>
          <w:rFonts w:hint="eastAsia"/>
          <w:lang w:eastAsia="zh-CN"/>
        </w:rPr>
        <w:t>P</w:t>
      </w:r>
      <w:r>
        <w:rPr>
          <w:lang w:eastAsia="zh-CN"/>
        </w:rPr>
        <w:t>DSCH and PDCCH timeline</w:t>
      </w:r>
    </w:p>
    <w:p>
      <w:pPr>
        <w:rPr>
          <w:lang w:eastAsia="zh-CN"/>
        </w:rPr>
      </w:pPr>
      <w:r>
        <w:rPr>
          <w:lang w:val="en-GB" w:eastAsia="zh-CN"/>
        </w:rPr>
        <w:t xml:space="preserve">In RAN1#96, companies have reached a consensus that </w:t>
      </w:r>
      <w:r>
        <w:rPr/>
        <w:sym w:font="Symbol" w:char="F044"/>
      </w:r>
      <w:r>
        <w:t>&gt;0</w:t>
      </w:r>
      <w:r>
        <w:rPr>
          <w:rFonts w:hint="eastAsia"/>
          <w:lang w:eastAsia="zh-CN"/>
        </w:rPr>
        <w:t xml:space="preserve"> is defined between the starting point of PDSCH and the end of the corresponding PDCCH. </w:t>
      </w:r>
      <w:r>
        <w:rPr>
          <w:lang w:eastAsia="zh-CN"/>
        </w:rPr>
        <w:t xml:space="preserve">Basically, there are two ways to define this </w:t>
      </w:r>
      <w:r>
        <w:rPr/>
        <w:sym w:font="Symbol" w:char="F044"/>
      </w:r>
      <w:r>
        <w:rPr>
          <w:lang w:eastAsia="zh-CN"/>
        </w:rPr>
        <w:t xml:space="preserve">, i.e., symbol-level </w:t>
      </w:r>
      <w:r>
        <w:rPr/>
        <w:sym w:font="Symbol" w:char="F044"/>
      </w:r>
      <w:r>
        <w:rPr>
          <w:lang w:eastAsia="zh-CN"/>
        </w:rPr>
        <w:t xml:space="preserve"> or slot-level </w:t>
      </w:r>
      <w:r>
        <w:rPr/>
        <w:sym w:font="Symbol" w:char="F044"/>
      </w:r>
      <w:r>
        <w:rPr>
          <w:lang w:eastAsia="zh-CN"/>
        </w:rPr>
        <w:t>.</w:t>
      </w:r>
    </w:p>
    <w:p>
      <w:pPr>
        <w:pStyle w:val="3"/>
      </w:pPr>
      <w:r>
        <w:rPr>
          <w:lang w:eastAsia="zh-CN"/>
        </w:rPr>
        <w:t xml:space="preserve">Symbol-level </w:t>
      </w:r>
      <w:r>
        <w:t>delta</w:t>
      </w:r>
    </w:p>
    <w:p>
      <w:pPr>
        <w:rPr>
          <w:lang w:val="en-GB" w:eastAsia="zh-CN"/>
        </w:rPr>
      </w:pPr>
      <w:r>
        <w:rPr>
          <w:rFonts w:hint="eastAsia"/>
          <w:lang w:val="en-GB" w:eastAsia="zh-CN"/>
        </w:rPr>
        <w:t>T</w:t>
      </w:r>
      <w:r>
        <w:rPr>
          <w:lang w:val="en-GB" w:eastAsia="zh-CN"/>
        </w:rPr>
        <w:t xml:space="preserve">he </w:t>
      </w:r>
      <w:r>
        <w:rPr/>
        <w:sym w:font="Symbol" w:char="F044"/>
      </w:r>
      <w:r>
        <w:t xml:space="preserve"> </w:t>
      </w:r>
      <w:r>
        <w:rPr>
          <w:lang w:val="en-GB" w:eastAsia="zh-CN"/>
        </w:rPr>
        <w:t>is most likely related to UE capability. Following the way in Rel-15, we can try to define a minimum time requirement between PDCCH and corresponding PDSCH, which is similar to T</w:t>
      </w:r>
      <w:r>
        <w:rPr>
          <w:vertAlign w:val="subscript"/>
          <w:lang w:val="en-GB" w:eastAsia="zh-CN"/>
        </w:rPr>
        <w:t>proc,1</w:t>
      </w:r>
      <w:r>
        <w:rPr>
          <w:lang w:val="en-GB" w:eastAsia="zh-CN"/>
        </w:rPr>
        <w:t xml:space="preserve"> and T</w:t>
      </w:r>
      <w:r>
        <w:rPr>
          <w:vertAlign w:val="subscript"/>
          <w:lang w:val="en-GB" w:eastAsia="zh-CN"/>
        </w:rPr>
        <w:t>proc,2</w:t>
      </w:r>
      <w:r>
        <w:rPr>
          <w:lang w:val="en-GB" w:eastAsia="zh-CN"/>
        </w:rPr>
        <w:t>. To simplify the discussion, we denote the minimum requirement between PDCCH and corresponding PDSCH as T</w:t>
      </w:r>
      <w:r>
        <w:rPr>
          <w:vertAlign w:val="subscript"/>
          <w:lang w:val="en-GB" w:eastAsia="zh-CN"/>
        </w:rPr>
        <w:t>proc,0</w:t>
      </w:r>
      <w:r>
        <w:rPr>
          <w:lang w:val="en-GB" w:eastAsia="zh-CN"/>
        </w:rPr>
        <w:t>. One possible way to define T</w:t>
      </w:r>
      <w:r>
        <w:rPr>
          <w:vertAlign w:val="subscript"/>
          <w:lang w:val="en-GB" w:eastAsia="zh-CN"/>
        </w:rPr>
        <w:t xml:space="preserve">proc,0 </w:t>
      </w:r>
      <w:r>
        <w:rPr>
          <w:lang w:val="en-GB" w:eastAsia="zh-CN"/>
        </w:rPr>
        <w:t>is as below.</w:t>
      </w:r>
    </w:p>
    <w:p>
      <w:pPr>
        <w:rPr>
          <w:lang w:val="en-GB" w:eastAsia="zh-CN"/>
        </w:rPr>
      </w:pPr>
      <m:oMathPara>
        <m:oMath>
          <m:sSub>
            <m:sSubPr>
              <m:ctrlPr>
                <w:rPr>
                  <w:rFonts w:ascii="Cambria Math" w:hAnsi="Cambria Math"/>
                  <w:lang w:val="en-GB" w:eastAsia="zh-CN"/>
                </w:rPr>
              </m:ctrlPr>
            </m:sSubPr>
            <m:e>
              <m:r>
                <w:rPr>
                  <w:rFonts w:ascii="Cambria Math" w:hAnsi="Cambria Math"/>
                  <w:lang w:val="en-GB" w:eastAsia="zh-CN"/>
                </w:rPr>
                <m:t>T</m:t>
              </m:r>
              <m:ctrlPr>
                <w:rPr>
                  <w:rFonts w:ascii="Cambria Math" w:hAnsi="Cambria Math"/>
                  <w:lang w:val="en-GB" w:eastAsia="zh-CN"/>
                </w:rPr>
              </m:ctrlPr>
            </m:e>
            <m:sub>
              <m:r>
                <m:rPr>
                  <m:sty m:val="p"/>
                </m:rPr>
                <w:rPr>
                  <w:rFonts w:ascii="Cambria Math" w:hAnsi="Cambria Math"/>
                  <w:lang w:val="en-GB" w:eastAsia="zh-CN"/>
                </w:rPr>
                <m:t>proc,0</m:t>
              </m:r>
              <m:ctrlPr>
                <w:rPr>
                  <w:rFonts w:ascii="Cambria Math" w:hAnsi="Cambria Math"/>
                  <w:lang w:val="en-GB" w:eastAsia="zh-CN"/>
                </w:rPr>
              </m:ctrlP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N</m:t>
              </m:r>
              <m:ctrlPr>
                <w:rPr>
                  <w:rFonts w:ascii="Cambria Math" w:hAnsi="Cambria Math"/>
                  <w:lang w:val="en-GB" w:eastAsia="zh-CN"/>
                </w:rPr>
              </m:ctrlPr>
            </m:e>
            <m:sub>
              <m:r>
                <w:rPr>
                  <w:rFonts w:ascii="Cambria Math" w:hAnsi="Cambria Math"/>
                  <w:lang w:val="en-GB" w:eastAsia="zh-CN"/>
                </w:rPr>
                <m:t>0</m:t>
              </m:r>
              <m:ctrlPr>
                <w:rPr>
                  <w:rFonts w:ascii="Cambria Math" w:hAnsi="Cambria Math"/>
                  <w:lang w:val="en-GB" w:eastAsia="zh-CN"/>
                </w:rPr>
              </m:ctrlP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d</m:t>
              </m:r>
              <m:ctrlPr>
                <w:rPr>
                  <w:rFonts w:ascii="Cambria Math" w:hAnsi="Cambria Math"/>
                  <w:lang w:val="en-GB" w:eastAsia="zh-CN"/>
                </w:rPr>
              </m:ctrlPr>
            </m:e>
            <m:sub>
              <m:r>
                <w:rPr>
                  <w:rFonts w:ascii="Cambria Math" w:hAnsi="Cambria Math"/>
                  <w:lang w:val="en-GB" w:eastAsia="zh-CN"/>
                </w:rPr>
                <m:t>0,1</m:t>
              </m:r>
              <m:ctrlPr>
                <w:rPr>
                  <w:rFonts w:ascii="Cambria Math" w:hAnsi="Cambria Math"/>
                  <w:lang w:val="en-GB" w:eastAsia="zh-CN"/>
                </w:rPr>
              </m:ctrlPr>
            </m:sub>
          </m:sSub>
          <m:r>
            <m:rPr>
              <m:sty m:val="p"/>
            </m:rPr>
            <w:rPr>
              <w:rFonts w:ascii="Cambria Math" w:hAnsi="Cambria Math"/>
              <w:lang w:val="en-GB" w:eastAsia="zh-CN"/>
            </w:rPr>
            <m:t xml:space="preserve">)(2048+144)∙κ </m:t>
          </m:r>
          <m:sSup>
            <m:sSupPr>
              <m:ctrlPr>
                <w:rPr>
                  <w:rFonts w:ascii="Cambria Math" w:hAnsi="Cambria Math"/>
                  <w:lang w:val="en-GB" w:eastAsia="zh-CN"/>
                </w:rPr>
              </m:ctrlPr>
            </m:sSupPr>
            <m:e>
              <m:r>
                <w:rPr>
                  <w:rFonts w:ascii="Cambria Math" w:hAnsi="Cambria Math"/>
                  <w:lang w:val="en-GB" w:eastAsia="zh-CN"/>
                </w:rPr>
                <m:t>2</m:t>
              </m:r>
              <m:ctrlPr>
                <w:rPr>
                  <w:rFonts w:ascii="Cambria Math" w:hAnsi="Cambria Math"/>
                  <w:lang w:val="en-GB" w:eastAsia="zh-CN"/>
                </w:rPr>
              </m:ctrlPr>
            </m:e>
            <m:sup>
              <m:r>
                <w:rPr>
                  <w:rFonts w:ascii="Cambria Math" w:hAnsi="Cambria Math"/>
                  <w:lang w:val="en-GB" w:eastAsia="zh-CN"/>
                </w:rPr>
                <m:t>-μ</m:t>
              </m:r>
              <m:ctrlPr>
                <w:rPr>
                  <w:rFonts w:ascii="Cambria Math" w:hAnsi="Cambria Math"/>
                  <w:lang w:val="en-GB" w:eastAsia="zh-CN"/>
                </w:rPr>
              </m:ctrlPr>
            </m:sup>
          </m:s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ctrlPr>
                <w:rPr>
                  <w:rFonts w:ascii="Cambria Math" w:hAnsi="Cambria Math"/>
                  <w:i/>
                  <w:lang w:val="en-GB" w:eastAsia="zh-CN"/>
                </w:rPr>
              </m:ctrlPr>
            </m:e>
            <m:sub>
              <m:r>
                <w:rPr>
                  <w:rFonts w:ascii="Cambria Math" w:hAnsi="Cambria Math"/>
                  <w:lang w:val="en-GB" w:eastAsia="zh-CN"/>
                </w:rPr>
                <m:t>C</m:t>
              </m:r>
              <m:ctrlPr>
                <w:rPr>
                  <w:rFonts w:ascii="Cambria Math" w:hAnsi="Cambria Math"/>
                  <w:i/>
                  <w:lang w:val="en-GB" w:eastAsia="zh-CN"/>
                </w:rPr>
              </m:ctrlPr>
            </m:sub>
          </m:sSub>
        </m:oMath>
      </m:oMathPara>
    </w:p>
    <w:p>
      <w:pPr>
        <w:rPr>
          <w:color w:val="000000"/>
        </w:rPr>
      </w:pPr>
      <w:r>
        <w:rPr>
          <w:color w:val="000000"/>
        </w:rPr>
        <w:t>N</w:t>
      </w:r>
      <w:r>
        <w:rPr>
          <w:color w:val="000000"/>
          <w:vertAlign w:val="subscript"/>
        </w:rPr>
        <w:t>0</w:t>
      </w:r>
      <w:r>
        <w:rPr>
          <w:color w:val="000000"/>
        </w:rPr>
        <w:t xml:space="preserve"> is the pre-defined value, which depends on the UE capability, e.g., Capability#1 and Capability#2. The value of N</w:t>
      </w:r>
      <w:r>
        <w:rPr>
          <w:color w:val="000000"/>
          <w:vertAlign w:val="subscript"/>
        </w:rPr>
        <w:t>0</w:t>
      </w:r>
      <w:r>
        <w:rPr>
          <w:color w:val="000000"/>
        </w:rPr>
        <w:t xml:space="preserve"> can be further discussed.</w:t>
      </w:r>
    </w:p>
    <w:p>
      <w:pPr>
        <w:rPr>
          <w:lang w:val="en-GB" w:eastAsia="zh-CN"/>
        </w:rPr>
      </w:pPr>
      <m:oMath>
        <m:sSub>
          <m:sSubPr>
            <m:ctrlPr>
              <w:rPr>
                <w:rFonts w:ascii="Cambria Math" w:hAnsi="Cambria Math"/>
                <w:lang w:val="en-GB" w:eastAsia="zh-CN"/>
              </w:rPr>
            </m:ctrlPr>
          </m:sSubPr>
          <m:e>
            <m:r>
              <w:rPr>
                <w:rFonts w:ascii="Cambria Math" w:hAnsi="Cambria Math"/>
                <w:lang w:val="en-GB" w:eastAsia="zh-CN"/>
              </w:rPr>
              <m:t>d</m:t>
            </m:r>
            <m:ctrlPr>
              <w:rPr>
                <w:rFonts w:ascii="Cambria Math" w:hAnsi="Cambria Math"/>
                <w:lang w:val="en-GB" w:eastAsia="zh-CN"/>
              </w:rPr>
            </m:ctrlPr>
          </m:e>
          <m:sub>
            <m:r>
              <w:rPr>
                <w:rFonts w:ascii="Cambria Math" w:hAnsi="Cambria Math"/>
                <w:lang w:val="en-GB" w:eastAsia="zh-CN"/>
              </w:rPr>
              <m:t>0,1</m:t>
            </m:r>
            <m:ctrlPr>
              <w:rPr>
                <w:rFonts w:ascii="Cambria Math" w:hAnsi="Cambria Math"/>
                <w:lang w:val="en-GB" w:eastAsia="zh-CN"/>
              </w:rPr>
            </m:ctrlPr>
          </m:sub>
        </m:sSub>
      </m:oMath>
      <w:r>
        <w:rPr>
          <w:rFonts w:hint="eastAsia"/>
          <w:lang w:val="en-GB" w:eastAsia="zh-CN"/>
        </w:rPr>
        <w:t xml:space="preserve"> </w:t>
      </w:r>
      <w:r>
        <w:rPr>
          <w:lang w:val="en-GB" w:eastAsia="zh-CN"/>
        </w:rPr>
        <w:t xml:space="preserve">is used to reflect other factors that may have impact on </w:t>
      </w:r>
      <m:oMath>
        <m:sSub>
          <m:sSubPr>
            <m:ctrlPr>
              <w:rPr>
                <w:rFonts w:ascii="Cambria Math" w:hAnsi="Cambria Math"/>
                <w:lang w:val="en-GB" w:eastAsia="zh-CN"/>
              </w:rPr>
            </m:ctrlPr>
          </m:sSubPr>
          <m:e>
            <m:r>
              <w:rPr>
                <w:rFonts w:ascii="Cambria Math" w:hAnsi="Cambria Math"/>
                <w:lang w:val="en-GB" w:eastAsia="zh-CN"/>
              </w:rPr>
              <m:t>T</m:t>
            </m:r>
            <m:ctrlPr>
              <w:rPr>
                <w:rFonts w:ascii="Cambria Math" w:hAnsi="Cambria Math"/>
                <w:lang w:val="en-GB" w:eastAsia="zh-CN"/>
              </w:rPr>
            </m:ctrlPr>
          </m:e>
          <m:sub>
            <m:r>
              <m:rPr>
                <m:sty m:val="p"/>
              </m:rPr>
              <w:rPr>
                <w:rFonts w:ascii="Cambria Math" w:hAnsi="Cambria Math"/>
                <w:lang w:val="en-GB" w:eastAsia="zh-CN"/>
              </w:rPr>
              <m:t>proc,0</m:t>
            </m:r>
            <m:ctrlPr>
              <w:rPr>
                <w:rFonts w:ascii="Cambria Math" w:hAnsi="Cambria Math"/>
                <w:lang w:val="en-GB" w:eastAsia="zh-CN"/>
              </w:rPr>
            </m:ctrlPr>
          </m:sub>
        </m:sSub>
      </m:oMath>
      <w:r>
        <w:rPr>
          <w:lang w:val="en-GB" w:eastAsia="zh-CN"/>
        </w:rPr>
        <w:t>, e.g., number of symbols in this PDCCH monitoring occasion, PDCCH type (PDCCH monitoring case 1-1, case 1-2 and case 2). For example, if the number of symbols in PDCCH monitoring occasion may impact the PDCCH processing time, we can define the d</w:t>
      </w:r>
      <w:r>
        <w:rPr>
          <w:vertAlign w:val="subscript"/>
          <w:lang w:val="en-GB" w:eastAsia="zh-CN"/>
        </w:rPr>
        <w:t>0,1</w:t>
      </w:r>
      <w:r>
        <w:rPr>
          <w:lang w:val="en-GB" w:eastAsia="zh-CN"/>
        </w:rPr>
        <w:t xml:space="preserve"> as below.</w:t>
      </w:r>
    </w:p>
    <w:p>
      <w:pPr>
        <w:rPr>
          <w:lang w:val="en-GB" w:eastAsia="zh-CN"/>
        </w:rPr>
      </w:pPr>
      <m:oMathPara>
        <m:oMath>
          <m:sSub>
            <m:sSubPr>
              <m:ctrlPr>
                <w:rPr>
                  <w:rFonts w:ascii="Cambria Math" w:hAnsi="Cambria Math"/>
                  <w:lang w:val="en-GB" w:eastAsia="zh-CN"/>
                </w:rPr>
              </m:ctrlPr>
            </m:sSubPr>
            <m:e>
              <m:r>
                <w:rPr>
                  <w:rFonts w:ascii="Cambria Math" w:hAnsi="Cambria Math"/>
                  <w:lang w:val="en-GB" w:eastAsia="zh-CN"/>
                </w:rPr>
                <m:t>d</m:t>
              </m:r>
              <m:ctrlPr>
                <w:rPr>
                  <w:rFonts w:ascii="Cambria Math" w:hAnsi="Cambria Math"/>
                  <w:lang w:val="en-GB" w:eastAsia="zh-CN"/>
                </w:rPr>
              </m:ctrlPr>
            </m:e>
            <m:sub>
              <m:r>
                <w:rPr>
                  <w:rFonts w:ascii="Cambria Math" w:hAnsi="Cambria Math"/>
                  <w:lang w:val="en-GB" w:eastAsia="zh-CN"/>
                </w:rPr>
                <m:t>0,1</m:t>
              </m:r>
              <m:ctrlPr>
                <w:rPr>
                  <w:rFonts w:ascii="Cambria Math" w:hAnsi="Cambria Math"/>
                  <w:lang w:val="en-GB" w:eastAsia="zh-CN"/>
                </w:rPr>
              </m:ctrlPr>
            </m:sub>
          </m:sSub>
          <m:r>
            <w:rPr>
              <w:rFonts w:ascii="Cambria Math" w:hAnsi="Cambria Math"/>
              <w:lang w:val="en-GB" w:eastAsia="zh-CN"/>
            </w:rPr>
            <m:t>=</m:t>
          </m:r>
          <m:d>
            <m:dPr>
              <m:begChr m:val="{"/>
              <m:endChr m:val=""/>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1, PDCCH occasion length=3 symbols</m:t>
                  </m:r>
                  <m:ctrlPr>
                    <w:rPr>
                      <w:rFonts w:ascii="Cambria Math" w:hAnsi="Cambria Math"/>
                      <w:i/>
                      <w:lang w:val="en-GB" w:eastAsia="zh-CN"/>
                    </w:rPr>
                  </m:ctrlPr>
                </m:e>
                <m:e>
                  <m:r>
                    <w:rPr>
                      <w:rFonts w:ascii="Cambria Math" w:hAnsi="Cambria Math"/>
                      <w:lang w:val="en-GB" w:eastAsia="zh-CN"/>
                    </w:rPr>
                    <m:t>0, PDCCH occasion length&lt;3 symbols</m:t>
                  </m:r>
                  <m:ctrlPr>
                    <w:rPr>
                      <w:rFonts w:ascii="Cambria Math" w:hAnsi="Cambria Math"/>
                      <w:i/>
                      <w:lang w:val="en-GB" w:eastAsia="zh-CN"/>
                    </w:rPr>
                  </m:ctrlPr>
                </m:e>
              </m:eqArr>
              <m:ctrlPr>
                <w:rPr>
                  <w:rFonts w:ascii="Cambria Math" w:hAnsi="Cambria Math"/>
                  <w:i/>
                  <w:lang w:val="en-GB" w:eastAsia="zh-CN"/>
                </w:rPr>
              </m:ctrlPr>
            </m:e>
          </m:d>
        </m:oMath>
      </m:oMathPara>
    </w:p>
    <w:p>
      <w:pPr>
        <w:rPr>
          <w:i/>
          <w:lang w:val="en-GB" w:eastAsia="zh-CN"/>
        </w:rPr>
      </w:pPr>
      <w:r>
        <w:rPr>
          <w:b/>
          <w:i/>
          <w:lang w:val="en-GB" w:eastAsia="zh-CN"/>
        </w:rPr>
        <w:t>Proposal 4</w:t>
      </w:r>
      <w:r>
        <w:rPr>
          <w:i/>
          <w:lang w:val="en-GB" w:eastAsia="zh-CN"/>
        </w:rPr>
        <w:t xml:space="preserve">: Define the </w:t>
      </w:r>
      <w:r>
        <w:rPr>
          <w:i/>
        </w:rPr>
        <w:sym w:font="Symbol" w:char="F044"/>
      </w:r>
      <w:r>
        <w:rPr>
          <w:i/>
          <w:lang w:val="en-GB" w:eastAsia="zh-CN"/>
        </w:rPr>
        <w:t xml:space="preserve"> as</w:t>
      </w:r>
    </w:p>
    <w:p>
      <w:pPr>
        <w:jc w:val="center"/>
        <w:rPr>
          <w:i/>
          <w:lang w:val="en-GB" w:eastAsia="zh-CN"/>
        </w:rPr>
      </w:pPr>
      <m:oMath>
        <m:sSub>
          <m:sSubPr>
            <m:ctrlPr>
              <w:rPr>
                <w:rFonts w:ascii="Cambria Math" w:hAnsi="Cambria Math"/>
                <w:i/>
                <w:lang w:val="en-GB" w:eastAsia="zh-CN"/>
              </w:rPr>
            </m:ctrlPr>
          </m:sSubPr>
          <m:e>
            <m:r>
              <w:rPr>
                <w:rFonts w:ascii="Cambria Math" w:hAnsi="Cambria Math"/>
                <w:lang w:val="en-GB" w:eastAsia="zh-CN"/>
              </w:rPr>
              <m:t>T</m:t>
            </m:r>
            <m:ctrlPr>
              <w:rPr>
                <w:rFonts w:ascii="Cambria Math" w:hAnsi="Cambria Math"/>
                <w:i/>
                <w:lang w:val="en-GB" w:eastAsia="zh-CN"/>
              </w:rPr>
            </m:ctrlPr>
          </m:e>
          <m:sub>
            <m:r>
              <w:rPr>
                <w:rFonts w:ascii="Cambria Math" w:hAnsi="Cambria Math"/>
                <w:lang w:val="en-GB" w:eastAsia="zh-CN"/>
              </w:rPr>
              <m:t>proc,0</m:t>
            </m:r>
            <m:ctrlPr>
              <w:rPr>
                <w:rFonts w:ascii="Cambria Math" w:hAnsi="Cambria Math"/>
                <w:i/>
                <w:lang w:val="en-GB" w:eastAsia="zh-CN"/>
              </w:rPr>
            </m:ctrlPr>
          </m:sub>
        </m:sSub>
        <m:r>
          <w:rPr>
            <w:rFonts w:ascii="Cambria Math" w:hAnsi="Cambria Math"/>
            <w:lang w:val="en-GB" w:eastAsia="zh-CN"/>
          </w:rPr>
          <m:t>=</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N</m:t>
                </m:r>
                <m:ctrlPr>
                  <w:rPr>
                    <w:rFonts w:ascii="Cambria Math" w:hAnsi="Cambria Math"/>
                    <w:i/>
                    <w:lang w:val="en-GB" w:eastAsia="zh-CN"/>
                  </w:rPr>
                </m:ctrlPr>
              </m:e>
              <m:sub>
                <m:r>
                  <w:rPr>
                    <w:rFonts w:ascii="Cambria Math" w:hAnsi="Cambria Math"/>
                    <w:lang w:val="en-GB" w:eastAsia="zh-CN"/>
                  </w:rPr>
                  <m:t>0</m:t>
                </m:r>
                <m:ctrlPr>
                  <w:rPr>
                    <w:rFonts w:ascii="Cambria Math" w:hAnsi="Cambria Math"/>
                    <w:i/>
                    <w:lang w:val="en-GB" w:eastAsia="zh-CN"/>
                  </w:rPr>
                </m:ctrlP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d</m:t>
                </m:r>
                <m:ctrlPr>
                  <w:rPr>
                    <w:rFonts w:ascii="Cambria Math" w:hAnsi="Cambria Math"/>
                    <w:i/>
                    <w:lang w:val="en-GB" w:eastAsia="zh-CN"/>
                  </w:rPr>
                </m:ctrlPr>
              </m:e>
              <m:sub>
                <m:r>
                  <w:rPr>
                    <w:rFonts w:ascii="Cambria Math" w:hAnsi="Cambria Math"/>
                    <w:lang w:val="en-GB" w:eastAsia="zh-CN"/>
                  </w:rPr>
                  <m:t>0,1</m:t>
                </m:r>
                <m:ctrlPr>
                  <w:rPr>
                    <w:rFonts w:ascii="Cambria Math" w:hAnsi="Cambria Math"/>
                    <w:i/>
                    <w:lang w:val="en-GB" w:eastAsia="zh-CN"/>
                  </w:rPr>
                </m:ctrlPr>
              </m:sub>
            </m:sSub>
            <m:ctrlPr>
              <w:rPr>
                <w:rFonts w:ascii="Cambria Math" w:hAnsi="Cambria Math"/>
                <w:i/>
                <w:lang w:val="en-GB" w:eastAsia="zh-CN"/>
              </w:rPr>
            </m:ctrlPr>
          </m:e>
        </m:d>
        <m:d>
          <m:dPr>
            <m:ctrlPr>
              <w:rPr>
                <w:rFonts w:ascii="Cambria Math" w:hAnsi="Cambria Math"/>
                <w:i/>
                <w:lang w:val="en-GB" w:eastAsia="zh-CN"/>
              </w:rPr>
            </m:ctrlPr>
          </m:dPr>
          <m:e>
            <m:r>
              <w:rPr>
                <w:rFonts w:ascii="Cambria Math" w:hAnsi="Cambria Math"/>
                <w:lang w:val="en-GB" w:eastAsia="zh-CN"/>
              </w:rPr>
              <m:t>2048+144</m:t>
            </m:r>
            <m:ctrlPr>
              <w:rPr>
                <w:rFonts w:ascii="Cambria Math" w:hAnsi="Cambria Math"/>
                <w:i/>
                <w:lang w:val="en-GB" w:eastAsia="zh-CN"/>
              </w:rPr>
            </m:ctrlPr>
          </m:e>
        </m:d>
        <m:r>
          <w:rPr>
            <w:rFonts w:ascii="Cambria Math" w:hAnsi="Cambria Math"/>
            <w:lang w:val="en-GB" w:eastAsia="zh-CN"/>
          </w:rPr>
          <m:t xml:space="preserve">∙κ </m:t>
        </m:r>
        <m:sSup>
          <m:sSupPr>
            <m:ctrlPr>
              <w:rPr>
                <w:rFonts w:ascii="Cambria Math" w:hAnsi="Cambria Math"/>
                <w:i/>
                <w:lang w:val="en-GB" w:eastAsia="zh-CN"/>
              </w:rPr>
            </m:ctrlPr>
          </m:sSupPr>
          <m:e>
            <m:r>
              <w:rPr>
                <w:rFonts w:ascii="Cambria Math" w:hAnsi="Cambria Math"/>
                <w:lang w:val="en-GB" w:eastAsia="zh-CN"/>
              </w:rPr>
              <m:t>2</m:t>
            </m:r>
            <m:ctrlPr>
              <w:rPr>
                <w:rFonts w:ascii="Cambria Math" w:hAnsi="Cambria Math"/>
                <w:i/>
                <w:lang w:val="en-GB" w:eastAsia="zh-CN"/>
              </w:rPr>
            </m:ctrlPr>
          </m:e>
          <m:sup>
            <m:r>
              <w:rPr>
                <w:rFonts w:ascii="Cambria Math" w:hAnsi="Cambria Math"/>
                <w:lang w:val="en-GB" w:eastAsia="zh-CN"/>
              </w:rPr>
              <m:t>-μ</m:t>
            </m:r>
            <m:ctrlPr>
              <w:rPr>
                <w:rFonts w:ascii="Cambria Math" w:hAnsi="Cambria Math"/>
                <w:i/>
                <w:lang w:val="en-GB" w:eastAsia="zh-CN"/>
              </w:rPr>
            </m:ctrlPr>
          </m:sup>
        </m:s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ctrlPr>
              <w:rPr>
                <w:rFonts w:ascii="Cambria Math" w:hAnsi="Cambria Math"/>
                <w:i/>
                <w:lang w:val="en-GB" w:eastAsia="zh-CN"/>
              </w:rPr>
            </m:ctrlPr>
          </m:e>
          <m:sub>
            <m:r>
              <w:rPr>
                <w:rFonts w:ascii="Cambria Math" w:hAnsi="Cambria Math"/>
                <w:lang w:val="en-GB" w:eastAsia="zh-CN"/>
              </w:rPr>
              <m:t>C</m:t>
            </m:r>
            <m:ctrlPr>
              <w:rPr>
                <w:rFonts w:ascii="Cambria Math" w:hAnsi="Cambria Math"/>
                <w:i/>
                <w:lang w:val="en-GB" w:eastAsia="zh-CN"/>
              </w:rPr>
            </m:ctrlPr>
          </m:sub>
        </m:sSub>
      </m:oMath>
      <w:r>
        <w:rPr>
          <w:rFonts w:hint="eastAsia"/>
          <w:i/>
          <w:lang w:val="en-GB" w:eastAsia="zh-CN"/>
        </w:rPr>
        <w:t>,</w:t>
      </w:r>
    </w:p>
    <w:p>
      <w:pPr>
        <w:rPr>
          <w:i/>
          <w:lang w:val="en-GB" w:eastAsia="zh-CN"/>
        </w:rPr>
      </w:pPr>
      <w:r>
        <w:rPr>
          <w:i/>
          <w:lang w:val="en-GB" w:eastAsia="zh-CN"/>
        </w:rPr>
        <w:t xml:space="preserve">where </w:t>
      </w:r>
      <w:r>
        <w:rPr>
          <w:i/>
          <w:color w:val="000000"/>
        </w:rPr>
        <w:t>N</w:t>
      </w:r>
      <w:r>
        <w:rPr>
          <w:i/>
          <w:color w:val="000000"/>
          <w:vertAlign w:val="subscript"/>
        </w:rPr>
        <w:t>0</w:t>
      </w:r>
      <w:r>
        <w:rPr>
          <w:i/>
          <w:color w:val="000000"/>
        </w:rPr>
        <w:t xml:space="preserve"> is the pre-defined value that depends on the UE capability and </w:t>
      </w:r>
      <m:oMath>
        <m:sSub>
          <m:sSubPr>
            <m:ctrlPr>
              <w:rPr>
                <w:rFonts w:ascii="Cambria Math" w:hAnsi="Cambria Math"/>
                <w:i/>
                <w:lang w:val="en-GB" w:eastAsia="zh-CN"/>
              </w:rPr>
            </m:ctrlPr>
          </m:sSubPr>
          <m:e>
            <m:r>
              <w:rPr>
                <w:rFonts w:ascii="Cambria Math" w:hAnsi="Cambria Math"/>
                <w:lang w:val="en-GB" w:eastAsia="zh-CN"/>
              </w:rPr>
              <m:t>d</m:t>
            </m:r>
            <m:ctrlPr>
              <w:rPr>
                <w:rFonts w:ascii="Cambria Math" w:hAnsi="Cambria Math"/>
                <w:i/>
                <w:lang w:val="en-GB" w:eastAsia="zh-CN"/>
              </w:rPr>
            </m:ctrlPr>
          </m:e>
          <m:sub>
            <m:r>
              <w:rPr>
                <w:rFonts w:ascii="Cambria Math" w:hAnsi="Cambria Math"/>
                <w:lang w:val="en-GB" w:eastAsia="zh-CN"/>
              </w:rPr>
              <m:t>0,1</m:t>
            </m:r>
            <m:ctrlPr>
              <w:rPr>
                <w:rFonts w:ascii="Cambria Math" w:hAnsi="Cambria Math"/>
                <w:i/>
                <w:lang w:val="en-GB" w:eastAsia="zh-CN"/>
              </w:rPr>
            </m:ctrlPr>
          </m:sub>
        </m:sSub>
      </m:oMath>
      <w:r>
        <w:rPr>
          <w:rFonts w:hint="eastAsia"/>
          <w:i/>
          <w:lang w:val="en-GB" w:eastAsia="zh-CN"/>
        </w:rPr>
        <w:t xml:space="preserve"> </w:t>
      </w:r>
      <w:r>
        <w:rPr>
          <w:i/>
          <w:color w:val="000000"/>
        </w:rPr>
        <w:t xml:space="preserve">is to reflect other factors that may have impact on </w:t>
      </w:r>
      <w:r>
        <w:rPr>
          <w:i/>
        </w:rPr>
        <w:sym w:font="Symbol" w:char="F044"/>
      </w:r>
      <w:r>
        <w:rPr>
          <w:i/>
          <w:color w:val="000000"/>
        </w:rPr>
        <w:t>..</w:t>
      </w:r>
    </w:p>
    <w:p>
      <w:pPr>
        <w:pStyle w:val="3"/>
      </w:pPr>
      <w:r>
        <w:rPr>
          <w:lang w:eastAsia="zh-CN"/>
        </w:rPr>
        <w:t xml:space="preserve">Slot-level </w:t>
      </w:r>
      <w:r>
        <w:t>delta</w:t>
      </w:r>
    </w:p>
    <w:p>
      <w:pPr>
        <w:rPr>
          <w:lang w:val="en-GB" w:eastAsia="zh-CN"/>
        </w:rPr>
      </w:pPr>
      <w:r>
        <w:rPr>
          <w:rFonts w:hint="eastAsia"/>
          <w:lang w:val="en-GB" w:eastAsia="zh-CN"/>
        </w:rPr>
        <w:t>A</w:t>
      </w:r>
      <w:r>
        <w:rPr>
          <w:lang w:val="en-GB" w:eastAsia="zh-CN"/>
        </w:rPr>
        <w:t xml:space="preserve">nother way to define the </w:t>
      </w:r>
      <w:r>
        <w:rPr/>
        <w:sym w:font="Symbol" w:char="F044"/>
      </w:r>
      <w:r>
        <w:t xml:space="preserve"> </w:t>
      </w:r>
      <w:r>
        <w:rPr>
          <w:lang w:val="en-GB" w:eastAsia="zh-CN"/>
        </w:rPr>
        <w:t>is to define the minimum K0</w:t>
      </w:r>
      <w:r>
        <w:rPr>
          <w:rFonts w:hint="eastAsia"/>
          <w:lang w:eastAsia="zh-CN"/>
        </w:rPr>
        <w:t xml:space="preserve"> in unit of slot for the CC with higher SCS</w:t>
      </w:r>
      <w:r>
        <w:rPr>
          <w:lang w:val="en-GB" w:eastAsia="zh-CN"/>
        </w:rPr>
        <w:t>. Some examples of minimum K0 for each combination of (</w:t>
      </w:r>
      <m:oMath>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PDCCH</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PDSCH</m:t>
            </m:r>
            <m:ctrlPr>
              <w:rPr>
                <w:rFonts w:ascii="Cambria Math" w:hAnsi="Cambria Math"/>
                <w:lang w:eastAsia="zh-CN"/>
              </w:rPr>
            </m:ctrlPr>
          </m:sub>
        </m:sSub>
      </m:oMath>
      <w:r>
        <w:rPr>
          <w:lang w:val="en-GB" w:eastAsia="zh-CN"/>
        </w:rPr>
        <w:t xml:space="preserve">) can be found in </w:t>
      </w:r>
      <w:r>
        <w:rPr>
          <w:lang w:val="en-GB" w:eastAsia="zh-CN"/>
        </w:rPr>
        <w:fldChar w:fldCharType="begin"/>
      </w:r>
      <w:r>
        <w:rPr>
          <w:lang w:val="en-GB" w:eastAsia="zh-CN"/>
        </w:rPr>
        <w:instrText xml:space="preserve"> REF _Ref4520899 \n \h </w:instrText>
      </w:r>
      <w:r>
        <w:rPr>
          <w:lang w:val="en-GB" w:eastAsia="zh-CN"/>
        </w:rPr>
        <w:fldChar w:fldCharType="separate"/>
      </w:r>
      <w:r>
        <w:rPr>
          <w:lang w:val="en-GB" w:eastAsia="zh-CN"/>
        </w:rPr>
        <w:t>[2]</w:t>
      </w:r>
      <w:r>
        <w:rPr>
          <w:lang w:val="en-GB" w:eastAsia="zh-CN"/>
        </w:rPr>
        <w:fldChar w:fldCharType="end"/>
      </w:r>
      <w:r>
        <w:rPr>
          <w:lang w:val="en-GB" w:eastAsia="zh-CN"/>
        </w:rPr>
        <w:t>.</w:t>
      </w:r>
    </w:p>
    <w:p>
      <w:pPr>
        <w:rPr>
          <w:lang w:val="en-GB" w:eastAsia="zh-CN"/>
        </w:rPr>
      </w:pPr>
      <w:r>
        <w:rPr>
          <w:rFonts w:hint="eastAsia"/>
          <w:lang w:val="en-GB" w:eastAsia="zh-CN"/>
        </w:rPr>
        <w:t>H</w:t>
      </w:r>
      <w:r>
        <w:rPr>
          <w:lang w:val="en-GB" w:eastAsia="zh-CN"/>
        </w:rPr>
        <w:t xml:space="preserve">owever, defining a minimum K0 may be a little complicated since the minimum K0 is dependent on the end symbol of PDCCH. As depicted in </w:t>
      </w:r>
      <w:r>
        <w:rPr>
          <w:lang w:val="en-GB" w:eastAsia="zh-CN"/>
        </w:rPr>
        <w:fldChar w:fldCharType="begin"/>
      </w:r>
      <w:r>
        <w:rPr>
          <w:lang w:val="en-GB" w:eastAsia="zh-CN"/>
        </w:rPr>
        <w:instrText xml:space="preserve"> REF _Ref4520934 \h </w:instrText>
      </w:r>
      <w:r>
        <w:rPr>
          <w:lang w:val="en-GB" w:eastAsia="zh-CN"/>
        </w:rPr>
        <w:fldChar w:fldCharType="separate"/>
      </w:r>
      <w:r>
        <w:t>Figure 5</w:t>
      </w:r>
      <w:r>
        <w:rPr>
          <w:lang w:val="en-GB" w:eastAsia="zh-CN"/>
        </w:rPr>
        <w:fldChar w:fldCharType="end"/>
      </w:r>
      <w:r>
        <w:rPr>
          <w:lang w:val="en-GB" w:eastAsia="zh-CN"/>
        </w:rPr>
        <w:t>, one 15KHz SCS CC schedules another 60KHz SCS CC.</w:t>
      </w:r>
    </w:p>
    <w:p>
      <w:pPr>
        <w:pStyle w:val="114"/>
        <w:numPr>
          <w:ilvl w:val="0"/>
          <w:numId w:val="14"/>
        </w:numPr>
      </w:pPr>
      <w:r>
        <w:rPr>
          <w:lang w:eastAsia="zh-CN"/>
        </w:rPr>
        <w:t xml:space="preserve">For the PDCCH ends within symbol#0, symbol#1 and symbol#2, the minimum K0 should be at least K0=1 to fulfil </w:t>
      </w:r>
      <w:r>
        <w:rPr/>
        <w:sym w:font="Symbol" w:char="F044"/>
      </w:r>
      <w:r>
        <w:t>&gt;0.</w:t>
      </w:r>
    </w:p>
    <w:p>
      <w:pPr>
        <w:pStyle w:val="114"/>
        <w:numPr>
          <w:ilvl w:val="0"/>
          <w:numId w:val="14"/>
        </w:numPr>
      </w:pPr>
      <w:r>
        <w:rPr>
          <w:lang w:eastAsia="zh-CN"/>
        </w:rPr>
        <w:t xml:space="preserve">For the PDCCH ends within symbol#3, symbol#4, symbol#5 and symbol#6, the minimum K0 should be at least K0=2 to fulfil </w:t>
      </w:r>
      <w:r>
        <w:rPr/>
        <w:sym w:font="Symbol" w:char="F044"/>
      </w:r>
      <w:r>
        <w:t>&gt;0.</w:t>
      </w:r>
    </w:p>
    <w:p>
      <w:pPr>
        <w:pStyle w:val="114"/>
        <w:numPr>
          <w:ilvl w:val="0"/>
          <w:numId w:val="14"/>
        </w:numPr>
      </w:pPr>
      <w:r>
        <w:rPr>
          <w:lang w:eastAsia="zh-CN"/>
        </w:rPr>
        <w:t xml:space="preserve">For the PDCCH ends within symbol#7, symbol#8 and symbol#9, the minimum K0 should be at least K0=3 to fulfil </w:t>
      </w:r>
      <w:r>
        <w:rPr/>
        <w:sym w:font="Symbol" w:char="F044"/>
      </w:r>
      <w:r>
        <w:t>&gt;0.</w:t>
      </w:r>
    </w:p>
    <w:p>
      <w:pPr>
        <w:pStyle w:val="114"/>
        <w:numPr>
          <w:ilvl w:val="0"/>
          <w:numId w:val="14"/>
        </w:numPr>
      </w:pPr>
      <w:r>
        <w:rPr>
          <w:lang w:eastAsia="zh-CN"/>
        </w:rPr>
        <w:t xml:space="preserve">For the PDCCH ends within symbol#10, symbol#11, symbol#12 and symbol#13, the minimum K0 should be at least K0=4 to fulfil </w:t>
      </w:r>
      <w:r>
        <w:rPr/>
        <w:sym w:font="Symbol" w:char="F044"/>
      </w:r>
      <w:r>
        <w:t>&gt;0.</w:t>
      </w:r>
    </w:p>
    <w:p>
      <w:pPr>
        <w:jc w:val="center"/>
        <w:rPr>
          <w:lang w:val="en-GB"/>
        </w:rPr>
      </w:pPr>
      <w:r>
        <w:rPr>
          <w:rFonts w:hint="eastAsia"/>
          <w:color w:val="0000FF"/>
          <w:lang w:eastAsia="zh-CN"/>
        </w:rPr>
        <w:drawing>
          <wp:inline distT="0" distB="0" distL="0" distR="0">
            <wp:extent cx="5274310" cy="1039495"/>
            <wp:effectExtent l="0" t="0" r="2540" b="825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noChangeArrowheads="1"/>
                    </pic:cNvPicPr>
                  </pic:nvPicPr>
                  <pic:blipFill>
                    <a:blip r:embed="rId12" cstate="print"/>
                    <a:srcRect/>
                    <a:stretch>
                      <a:fillRect/>
                    </a:stretch>
                  </pic:blipFill>
                  <pic:spPr>
                    <a:xfrm>
                      <a:off x="0" y="0"/>
                      <a:ext cx="5274310" cy="1039626"/>
                    </a:xfrm>
                    <a:prstGeom prst="rect">
                      <a:avLst/>
                    </a:prstGeom>
                    <a:noFill/>
                    <a:ln w="9525">
                      <a:noFill/>
                      <a:miter lim="800000"/>
                      <a:headEnd/>
                      <a:tailEnd/>
                    </a:ln>
                  </pic:spPr>
                </pic:pic>
              </a:graphicData>
            </a:graphic>
          </wp:inline>
        </w:drawing>
      </w:r>
    </w:p>
    <w:p>
      <w:pPr>
        <w:pStyle w:val="30"/>
        <w:jc w:val="center"/>
        <w:rPr>
          <w:lang w:eastAsia="zh-CN"/>
        </w:rPr>
      </w:pPr>
      <w:bookmarkStart w:id="6" w:name="_Ref4520934"/>
      <w:r>
        <w:t xml:space="preserve">Figure </w:t>
      </w:r>
      <w:r>
        <w:fldChar w:fldCharType="begin"/>
      </w:r>
      <w:r>
        <w:instrText xml:space="preserve"> SEQ Figure \* ARABIC </w:instrText>
      </w:r>
      <w:r>
        <w:fldChar w:fldCharType="separate"/>
      </w:r>
      <w:r>
        <w:t>5</w:t>
      </w:r>
      <w:r>
        <w:fldChar w:fldCharType="end"/>
      </w:r>
      <w:bookmarkEnd w:id="6"/>
      <w:r>
        <w:rPr>
          <w:rFonts w:hint="eastAsia"/>
          <w:lang w:eastAsia="zh-CN"/>
        </w:rPr>
        <w:t xml:space="preserve">. </w:t>
      </w:r>
      <w:r>
        <w:rPr>
          <w:lang w:eastAsia="zh-CN"/>
        </w:rPr>
        <w:t>The minimum K0 depends on ending symbol of PDCCH</w:t>
      </w:r>
    </w:p>
    <w:p>
      <w:pPr>
        <w:rPr>
          <w:i/>
          <w:lang w:val="en-GB" w:eastAsia="zh-CN"/>
        </w:rPr>
      </w:pPr>
      <w:r>
        <w:rPr>
          <w:rFonts w:hint="eastAsia"/>
          <w:b/>
          <w:i/>
          <w:lang w:val="en-GB" w:eastAsia="zh-CN"/>
        </w:rPr>
        <w:t>O</w:t>
      </w:r>
      <w:r>
        <w:rPr>
          <w:b/>
          <w:i/>
          <w:lang w:val="en-GB" w:eastAsia="zh-CN"/>
        </w:rPr>
        <w:t>bservation 3</w:t>
      </w:r>
      <w:r>
        <w:rPr>
          <w:i/>
          <w:lang w:val="en-GB" w:eastAsia="zh-CN"/>
        </w:rPr>
        <w:t>: The value of minimum K0 depends on the ending symbol of PDCCH.</w:t>
      </w:r>
    </w:p>
    <w:p>
      <w:r>
        <w:rPr>
          <w:rFonts w:hint="eastAsia"/>
          <w:lang w:val="en-GB" w:eastAsia="zh-CN"/>
        </w:rPr>
        <w:t>I</w:t>
      </w:r>
      <w:r>
        <w:rPr>
          <w:lang w:val="en-GB" w:eastAsia="zh-CN"/>
        </w:rPr>
        <w:t xml:space="preserve">f RAN1 agrees to define the slot-level </w:t>
      </w:r>
      <w:r>
        <w:rPr/>
        <w:sym w:font="Symbol" w:char="F044"/>
      </w:r>
      <w:r>
        <w:t>, then multiple tables may need to be defined for PDCCH ends in different symbols. If not, we can only define the K0 according to the worst case, which may result with an extremely large minimum K0.</w:t>
      </w:r>
    </w:p>
    <w:p>
      <w:r>
        <w:t xml:space="preserve">To simplify the description of minimum K0, we can define one default table as shown in </w:t>
      </w:r>
      <w:r>
        <w:fldChar w:fldCharType="begin"/>
      </w:r>
      <w:r>
        <w:instrText xml:space="preserve"> REF _Ref4520899 \n \h </w:instrText>
      </w:r>
      <w:r>
        <w:fldChar w:fldCharType="separate"/>
      </w:r>
      <w:r>
        <w:t>[2]</w:t>
      </w:r>
      <w:r>
        <w:fldChar w:fldCharType="end"/>
      </w:r>
      <w:r>
        <w:t xml:space="preserve"> for PDCCH monitoring case 1-1, i.e., PDCCH monitoring occasion is confined within the first 3 symbols. Then one additional offset can be defined to cater for the different cases where PDCCH ends in different symbols.</w:t>
      </w:r>
    </w:p>
    <w:p>
      <w:pPr>
        <w:rPr>
          <w:lang w:val="en-GB" w:eastAsia="zh-CN"/>
        </w:rPr>
      </w:pPr>
      <w:r>
        <w:rPr>
          <w:rFonts w:hint="eastAsia"/>
          <w:lang w:val="en-GB" w:eastAsia="zh-CN"/>
        </w:rPr>
        <w:t>T</w:t>
      </w:r>
      <w:r>
        <w:rPr>
          <w:lang w:val="en-GB" w:eastAsia="zh-CN"/>
        </w:rPr>
        <w:t xml:space="preserve">ake </w:t>
      </w:r>
      <w:r>
        <w:rPr>
          <w:lang w:val="en-GB" w:eastAsia="zh-CN"/>
        </w:rPr>
        <w:fldChar w:fldCharType="begin"/>
      </w:r>
      <w:r>
        <w:rPr>
          <w:lang w:val="en-GB" w:eastAsia="zh-CN"/>
        </w:rPr>
        <w:instrText xml:space="preserve"> REF _Ref4520934 \h </w:instrText>
      </w:r>
      <w:r>
        <w:rPr>
          <w:lang w:val="en-GB" w:eastAsia="zh-CN"/>
        </w:rPr>
        <w:fldChar w:fldCharType="separate"/>
      </w:r>
      <w:r>
        <w:t>Figure 5</w:t>
      </w:r>
      <w:r>
        <w:rPr>
          <w:lang w:val="en-GB" w:eastAsia="zh-CN"/>
        </w:rPr>
        <w:fldChar w:fldCharType="end"/>
      </w:r>
      <w:r>
        <w:rPr>
          <w:lang w:val="en-GB" w:eastAsia="zh-CN"/>
        </w:rPr>
        <w:t xml:space="preserve"> as an example, the minimum K0 is set to 1 for PDCCH monitoring case 1-1. Another additional offset is defined as below,</w:t>
      </w:r>
    </w:p>
    <w:p>
      <w:pPr>
        <w:rPr>
          <w:lang w:val="en-GB" w:eastAsia="zh-CN"/>
        </w:rPr>
      </w:pPr>
      <m:oMathPara>
        <m:oMath>
          <m:sSub>
            <m:sSubPr>
              <m:ctrlPr>
                <w:rPr>
                  <w:rFonts w:ascii="Cambria Math" w:hAnsi="Cambria Math"/>
                  <w:i/>
                  <w:lang w:val="en-GB" w:eastAsia="zh-CN"/>
                </w:rPr>
              </m:ctrlPr>
            </m:sSubPr>
            <m:e>
              <m:r>
                <m:rPr>
                  <m:sty m:val="p"/>
                </m:rPr>
                <w:rPr>
                  <w:rFonts w:ascii="Cambria Math" w:hAnsi="Cambria Math"/>
                  <w:lang w:val="en-GB" w:eastAsia="zh-CN"/>
                </w:rPr>
                <m:t>Offset</m:t>
              </m:r>
              <m:ctrlPr>
                <w:rPr>
                  <w:rFonts w:ascii="Cambria Math" w:hAnsi="Cambria Math"/>
                  <w:i/>
                  <w:lang w:val="en-GB" w:eastAsia="zh-CN"/>
                </w:rPr>
              </m:ctrlPr>
            </m:e>
            <m:sub>
              <m:r>
                <m:rPr>
                  <m:sty m:val="p"/>
                </m:rPr>
                <w:rPr>
                  <w:rFonts w:ascii="Cambria Math" w:hAnsi="Cambria Math"/>
                  <w:lang w:val="en-GB" w:eastAsia="zh-CN"/>
                </w:rPr>
                <m:t>PDCCH</m:t>
              </m:r>
              <m:ctrlPr>
                <w:rPr>
                  <w:rFonts w:ascii="Cambria Math" w:hAnsi="Cambria Math"/>
                  <w:i/>
                  <w:lang w:val="en-GB" w:eastAsia="zh-CN"/>
                </w:rPr>
              </m:ctrlPr>
            </m:sub>
          </m:sSub>
          <m:r>
            <w:rPr>
              <w:rFonts w:ascii="Cambria Math" w:hAnsi="Cambria Math"/>
              <w:lang w:val="en-GB" w:eastAsia="zh-CN"/>
            </w:rPr>
            <m:t>=</m:t>
          </m:r>
          <m:d>
            <m:dPr>
              <m:begChr m:val="{"/>
              <m:endChr m:val=""/>
              <m:ctrlPr>
                <w:rPr>
                  <w:rFonts w:ascii="Cambria Math" w:hAnsi="Cambria Math"/>
                  <w:lang w:val="en-GB" w:eastAsia="zh-CN"/>
                </w:rPr>
              </m:ctrlPr>
            </m:dPr>
            <m:e>
              <m:eqArr>
                <m:eqArrPr>
                  <m:ctrlPr>
                    <w:rPr>
                      <w:rFonts w:ascii="Cambria Math" w:hAnsi="Cambria Math"/>
                      <w:lang w:val="en-GB" w:eastAsia="zh-CN"/>
                    </w:rPr>
                  </m:ctrlPr>
                </m:eqArrPr>
                <m:e>
                  <m:r>
                    <m:rPr>
                      <m:nor/>
                      <m:sty m:val="p"/>
                    </m:rPr>
                    <w:rPr>
                      <w:rFonts w:ascii="Cambria Math" w:hAnsi="Cambria Math"/>
                      <w:lang w:val="en-GB" w:eastAsia="zh-CN"/>
                    </w:rPr>
                    <m:t xml:space="preserve">0, for PDCCH ends in sym0,1,2             </m:t>
                  </m:r>
                  <m:ctrlPr>
                    <w:rPr>
                      <w:rFonts w:ascii="Cambria Math" w:hAnsi="Cambria Math"/>
                      <w:lang w:val="en-GB" w:eastAsia="zh-CN"/>
                    </w:rPr>
                  </m:ctrlPr>
                </m:e>
                <m:e>
                  <m:r>
                    <m:rPr>
                      <m:nor/>
                      <m:sty m:val="p"/>
                    </m:rPr>
                    <w:rPr>
                      <w:rFonts w:ascii="Cambria Math" w:hAnsi="Cambria Math"/>
                      <w:lang w:val="en-GB" w:eastAsia="zh-CN"/>
                    </w:rPr>
                    <m:t xml:space="preserve">1, for PDCCH ends in sym3,4,5,6         </m:t>
                  </m:r>
                  <m:ctrlPr>
                    <w:rPr>
                      <w:rFonts w:ascii="Cambria Math" w:hAnsi="Cambria Math"/>
                      <w:lang w:val="en-GB" w:eastAsia="zh-CN"/>
                    </w:rPr>
                  </m:ctrlPr>
                </m:e>
                <m:e>
                  <m:f>
                    <m:fPr>
                      <m:type m:val="nobar"/>
                      <m:ctrlPr>
                        <w:rPr>
                          <w:rFonts w:ascii="Cambria Math" w:hAnsi="Cambria Math"/>
                          <w:i/>
                          <w:lang w:val="en-GB" w:eastAsia="zh-CN"/>
                        </w:rPr>
                      </m:ctrlPr>
                    </m:fPr>
                    <m:num>
                      <m:r>
                        <m:rPr>
                          <m:nor/>
                          <m:sty m:val="p"/>
                        </m:rPr>
                        <w:rPr>
                          <w:rFonts w:ascii="Cambria Math" w:hAnsi="Cambria Math"/>
                          <w:lang w:val="en-GB" w:eastAsia="zh-CN"/>
                        </w:rPr>
                        <m:t xml:space="preserve">2, for PDCCH ends in sym7,8,9             </m:t>
                      </m:r>
                      <m:ctrlPr>
                        <w:rPr>
                          <w:rFonts w:ascii="Cambria Math" w:hAnsi="Cambria Math"/>
                          <w:i/>
                          <w:lang w:val="en-GB" w:eastAsia="zh-CN"/>
                        </w:rPr>
                      </m:ctrlPr>
                    </m:num>
                    <m:den>
                      <m:r>
                        <m:rPr>
                          <m:nor/>
                          <m:sty m:val="p"/>
                        </m:rPr>
                        <w:rPr>
                          <w:rFonts w:ascii="Cambria Math" w:hAnsi="Cambria Math"/>
                          <w:lang w:val="en-GB" w:eastAsia="zh-CN"/>
                        </w:rPr>
                        <m:t>3, for PDCCH ends in sym10,11,12,13</m:t>
                      </m:r>
                      <m:ctrlPr>
                        <w:rPr>
                          <w:rFonts w:ascii="Cambria Math" w:hAnsi="Cambria Math"/>
                          <w:i/>
                          <w:lang w:val="en-GB" w:eastAsia="zh-CN"/>
                        </w:rPr>
                      </m:ctrlPr>
                    </m:den>
                  </m:f>
                  <m:ctrlPr>
                    <w:rPr>
                      <w:rFonts w:ascii="Cambria Math" w:hAnsi="Cambria Math"/>
                      <w:lang w:val="en-GB" w:eastAsia="zh-CN"/>
                    </w:rPr>
                  </m:ctrlPr>
                </m:e>
              </m:eqArr>
              <m:ctrlPr>
                <w:rPr>
                  <w:rFonts w:ascii="Cambria Math" w:hAnsi="Cambria Math"/>
                  <w:lang w:val="en-GB" w:eastAsia="zh-CN"/>
                </w:rPr>
              </m:ctrlPr>
            </m:e>
          </m:d>
        </m:oMath>
      </m:oMathPara>
    </w:p>
    <w:p>
      <w:pPr>
        <w:rPr>
          <w:vertAlign w:val="subscript"/>
        </w:rPr>
      </w:pPr>
      <w:r>
        <w:rPr>
          <w:rFonts w:hint="eastAsia"/>
          <w:lang w:val="en-GB" w:eastAsia="zh-CN"/>
        </w:rPr>
        <w:t>T</w:t>
      </w:r>
      <w:r>
        <w:rPr>
          <w:lang w:val="en-GB" w:eastAsia="zh-CN"/>
        </w:rPr>
        <w:t xml:space="preserve">hen, </w:t>
      </w:r>
      <w:r>
        <w:rPr/>
        <w:sym w:font="Symbol" w:char="F044"/>
      </w:r>
      <w:r>
        <w:t>=minimum K0 + Offset</w:t>
      </w:r>
      <w:r>
        <w:rPr>
          <w:vertAlign w:val="subscript"/>
        </w:rPr>
        <w:t>PDCCH</w:t>
      </w:r>
    </w:p>
    <w:p>
      <w:pPr>
        <w:rPr>
          <w:i/>
          <w:lang w:val="en-GB" w:eastAsia="zh-CN"/>
        </w:rPr>
      </w:pPr>
      <w:r>
        <w:rPr>
          <w:b/>
          <w:i/>
        </w:rPr>
        <w:t>Proposal 5</w:t>
      </w:r>
      <w:r>
        <w:rPr>
          <w:i/>
        </w:rPr>
        <w:t xml:space="preserve">: Define a minimum K0 for PDCCH monitoring case 1-1 and define an additional offset to cater for PDCCH ending in different symbols. Thus, </w:t>
      </w:r>
      <w:r>
        <w:rPr>
          <w:i/>
        </w:rPr>
        <w:sym w:font="Symbol" w:char="F044"/>
      </w:r>
      <w:r>
        <w:rPr>
          <w:i/>
        </w:rPr>
        <w:t>=minimum K0 + Offset</w:t>
      </w:r>
      <w:r>
        <w:rPr>
          <w:i/>
          <w:vertAlign w:val="subscript"/>
        </w:rPr>
        <w:t>PDCCH</w:t>
      </w:r>
      <w:r>
        <w:rPr>
          <w:i/>
        </w:rPr>
        <w:t>.</w:t>
      </w:r>
    </w:p>
    <w:p>
      <w:pPr>
        <w:pStyle w:val="2"/>
        <w:rPr>
          <w:lang w:eastAsia="zh-CN"/>
        </w:rPr>
      </w:pPr>
      <w:r>
        <w:rPr>
          <w:rFonts w:hint="eastAsia"/>
          <w:lang w:eastAsia="zh-CN"/>
        </w:rPr>
        <w:t>Q</w:t>
      </w:r>
      <w:r>
        <w:rPr>
          <w:lang w:eastAsia="zh-CN"/>
        </w:rPr>
        <w:t>CL determination</w:t>
      </w:r>
    </w:p>
    <w:p>
      <w:pPr>
        <w:pStyle w:val="3"/>
        <w:rPr>
          <w:lang w:val="en-US" w:eastAsia="zh-CN"/>
        </w:rPr>
      </w:pPr>
      <w:r>
        <w:rPr>
          <w:rFonts w:hint="eastAsia"/>
          <w:lang w:val="en-US" w:eastAsia="zh-CN"/>
        </w:rPr>
        <w:t>Default QCL assumption</w:t>
      </w:r>
    </w:p>
    <w:p>
      <w:pPr>
        <w:rPr>
          <w:lang w:eastAsia="zh-CN"/>
        </w:rPr>
      </w:pPr>
      <w:r>
        <w:rPr>
          <w:rFonts w:hint="eastAsia"/>
          <w:lang w:eastAsia="zh-CN"/>
        </w:rPr>
        <w:t xml:space="preserve">During </w:t>
      </w:r>
      <w:r>
        <w:rPr>
          <w:lang w:eastAsia="zh-CN"/>
        </w:rPr>
        <w:t>RAN1#adhoc 1901</w:t>
      </w:r>
      <w:r>
        <w:rPr>
          <w:rFonts w:hint="eastAsia"/>
          <w:lang w:eastAsia="zh-CN"/>
        </w:rPr>
        <w:t>, the default QCL assumptions for c</w:t>
      </w:r>
      <w:r>
        <w:rPr>
          <w:lang w:eastAsia="zh-CN"/>
        </w:rPr>
        <w:t>ro</w:t>
      </w:r>
      <w:r>
        <w:rPr>
          <w:rFonts w:hint="eastAsia"/>
          <w:lang w:eastAsia="zh-CN"/>
        </w:rPr>
        <w:t>ss-carrier scheduling was discussed in offline. Three alternatives were summarized as shown below.</w:t>
      </w:r>
    </w:p>
    <w:tbl>
      <w:tblPr>
        <w:tblStyle w:val="59"/>
        <w:tblW w:w="97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85" w:type="dxa"/>
          </w:tcPr>
          <w:p>
            <w:pPr>
              <w:spacing w:before="120" w:line="280" w:lineRule="atLeast"/>
              <w:rPr>
                <w:rFonts w:ascii="New York" w:hAnsi="New York"/>
              </w:rPr>
            </w:pPr>
            <w:bookmarkStart w:id="7" w:name="OLE_LINK1"/>
            <w:r>
              <w:rPr>
                <w:rFonts w:ascii="New York" w:hAnsi="New York"/>
              </w:rPr>
              <w:t xml:space="preserve">Alt 1: (follow Rel-15 definition): Tci-PresentInDCI has to be always enabled for cross-carrier scheduling. </w:t>
            </w:r>
          </w:p>
          <w:p>
            <w:pPr>
              <w:spacing w:before="120" w:line="280" w:lineRule="atLeast"/>
              <w:ind w:left="284"/>
              <w:rPr>
                <w:rFonts w:ascii="New York" w:hAnsi="New York"/>
              </w:rPr>
            </w:pPr>
            <w:r>
              <w:rPr>
                <w:rFonts w:ascii="New York" w:hAnsi="New York"/>
              </w:rPr>
              <w:t xml:space="preserve">For cross-carrier scheduling with tci-PresentInDCI being enabled for a DCI format 1_1, or if tci-PresentInDCI is not enabled for DCI format 1_1, the scheduling timing offset cannot be smaller than the threshold. </w:t>
            </w:r>
          </w:p>
          <w:p>
            <w:pPr>
              <w:spacing w:before="120" w:line="280" w:lineRule="atLeast"/>
              <w:rPr>
                <w:rFonts w:ascii="New York" w:hAnsi="New York"/>
              </w:rPr>
            </w:pPr>
            <w:r>
              <w:rPr>
                <w:rFonts w:ascii="New York" w:hAnsi="New York"/>
              </w:rPr>
              <w:t xml:space="preserve">Alt 2: If the scheduling timing offset is smaller than the threshold, or if tci-PresentInDCI is not enabled for DCI format 1_1, the default QCL assumption for PDSCH in case of cross-carrier scheduling is </w:t>
            </w:r>
            <w:r>
              <w:rPr>
                <w:rFonts w:ascii="New York" w:hAnsi="New York"/>
                <w:b/>
              </w:rPr>
              <w:t>based on dummy CORESET configured in the active BWP of the scheduled cell</w:t>
            </w:r>
          </w:p>
          <w:p>
            <w:pPr>
              <w:spacing w:before="120" w:line="280" w:lineRule="atLeast"/>
              <w:rPr>
                <w:rFonts w:ascii="New York" w:hAnsi="New York"/>
                <w:lang w:eastAsia="zh-CN"/>
              </w:rPr>
            </w:pPr>
            <w:r>
              <w:rPr>
                <w:rFonts w:ascii="New York" w:hAnsi="New York"/>
              </w:rPr>
              <w:t xml:space="preserve">Alt 3: If the scheduling timing offset is smaller than the threshold , or if tci-PresentInDCI is not enabled for DCI format 1_1, default QCL assumption for PDSCH in case of cross-carrier scheduling is </w:t>
            </w:r>
            <w:r>
              <w:rPr>
                <w:rFonts w:ascii="New York" w:hAnsi="New York"/>
                <w:b/>
              </w:rPr>
              <w:t>based on the TCI-state with the lowest ID applicable to PDSCH in the active BWP</w:t>
            </w:r>
            <w:r>
              <w:rPr>
                <w:rFonts w:ascii="New York" w:hAnsi="New York"/>
              </w:rPr>
              <w:t xml:space="preserve"> of the scheduled cell</w:t>
            </w:r>
            <w:bookmarkEnd w:id="7"/>
          </w:p>
        </w:tc>
      </w:tr>
    </w:tbl>
    <w:p>
      <w:pPr>
        <w:rPr>
          <w:lang w:eastAsia="zh-CN"/>
        </w:rPr>
      </w:pPr>
    </w:p>
    <w:p>
      <w:pPr>
        <w:rPr>
          <w:lang w:eastAsia="zh-CN"/>
        </w:rPr>
      </w:pPr>
      <w:r>
        <w:rPr>
          <w:rFonts w:hint="eastAsia"/>
          <w:lang w:eastAsia="zh-CN"/>
        </w:rPr>
        <w:t xml:space="preserve">Regarding the current QCL assumptions for cross-carrier scheduling (Alt 1), the </w:t>
      </w:r>
      <w:r>
        <w:rPr>
          <w:i/>
          <w:iCs/>
        </w:rPr>
        <w:t>Tci-PresentInDCI</w:t>
      </w:r>
      <w:r>
        <w:rPr>
          <w:rFonts w:hint="eastAsia"/>
          <w:lang w:eastAsia="zh-CN"/>
        </w:rPr>
        <w:t xml:space="preserve"> has to be always enabled and the scheduling timing offset cannot be smaller than the threshold. As explained in the UE feature list</w:t>
      </w:r>
      <w:r>
        <w:rPr>
          <w:lang w:eastAsia="zh-CN"/>
        </w:rPr>
        <w:t xml:space="preserve"> </w:t>
      </w:r>
      <w:r>
        <w:rPr>
          <w:lang w:eastAsia="zh-CN"/>
        </w:rPr>
        <w:fldChar w:fldCharType="begin"/>
      </w:r>
      <w:r>
        <w:rPr>
          <w:lang w:eastAsia="zh-CN"/>
        </w:rPr>
        <w:instrText xml:space="preserve"> REF _Ref4521959 \n \h </w:instrText>
      </w:r>
      <w:r>
        <w:rPr>
          <w:lang w:eastAsia="zh-CN"/>
        </w:rPr>
        <w:fldChar w:fldCharType="separate"/>
      </w:r>
      <w:r>
        <w:rPr>
          <w:lang w:eastAsia="zh-CN"/>
        </w:rPr>
        <w:t>[3]</w:t>
      </w:r>
      <w:r>
        <w:rPr>
          <w:lang w:eastAsia="zh-CN"/>
        </w:rPr>
        <w:fldChar w:fldCharType="end"/>
      </w:r>
      <w:r>
        <w:rPr>
          <w:rFonts w:hint="eastAsia"/>
          <w:lang w:eastAsia="zh-CN"/>
        </w:rPr>
        <w:t xml:space="preserve">, for 60 KHz SCS of scheduled carrier, the candidate values of </w:t>
      </w:r>
      <w:r>
        <w:rPr>
          <w:i/>
          <w:color w:val="000000"/>
        </w:rPr>
        <w:t>Threshold-Sched-Offset</w:t>
      </w:r>
      <w:r>
        <w:rPr>
          <w:rFonts w:hint="eastAsia"/>
          <w:i/>
          <w:color w:val="000000"/>
          <w:lang w:eastAsia="zh-CN"/>
        </w:rPr>
        <w:t xml:space="preserve"> </w:t>
      </w:r>
      <w:r>
        <w:rPr>
          <w:rFonts w:hint="eastAsia"/>
          <w:lang w:eastAsia="zh-CN"/>
        </w:rPr>
        <w:t xml:space="preserve">is {7, 14, 28}; for 120 KHz SCS of scheduled carrier, the candidate values of </w:t>
      </w:r>
      <w:r>
        <w:rPr>
          <w:i/>
          <w:color w:val="000000"/>
        </w:rPr>
        <w:t>Threshold-Sched-Offset</w:t>
      </w:r>
      <w:r>
        <w:rPr>
          <w:rFonts w:hint="eastAsia"/>
          <w:i/>
          <w:color w:val="000000"/>
          <w:lang w:eastAsia="zh-CN"/>
        </w:rPr>
        <w:t xml:space="preserve"> </w:t>
      </w:r>
      <w:r>
        <w:rPr>
          <w:rFonts w:hint="eastAsia"/>
          <w:lang w:eastAsia="zh-CN"/>
        </w:rPr>
        <w:t>is {14, 28}. That</w:t>
      </w:r>
      <w:r>
        <w:rPr>
          <w:lang w:eastAsia="zh-CN"/>
        </w:rPr>
        <w:t>’</w:t>
      </w:r>
      <w:r>
        <w:rPr>
          <w:rFonts w:hint="eastAsia"/>
          <w:lang w:eastAsia="zh-CN"/>
        </w:rPr>
        <w:t xml:space="preserve">s to say, the </w:t>
      </w:r>
      <w:r>
        <w:rPr>
          <w:lang w:eastAsia="zh-CN"/>
        </w:rPr>
        <w:t xml:space="preserve">basic </w:t>
      </w:r>
      <w:r>
        <w:rPr>
          <w:rFonts w:hint="eastAsia"/>
          <w:lang w:eastAsia="zh-CN"/>
        </w:rPr>
        <w:t>cross-carrier scheduling timing offset</w:t>
      </w:r>
      <w:r>
        <w:rPr>
          <w:lang w:eastAsia="zh-CN"/>
        </w:rPr>
        <w:t xml:space="preserve"> is 28 symbols with basic UE capability. Even with higher UE capability, the offset</w:t>
      </w:r>
      <w:r>
        <w:rPr>
          <w:rFonts w:hint="eastAsia"/>
          <w:lang w:eastAsia="zh-CN"/>
        </w:rPr>
        <w:t xml:space="preserve"> is at least 7 symbols for the scheduled carrier of 60 KHz SCS and 14 symbols for the scheduled carrier of 120 KHz SCS.</w:t>
      </w:r>
      <w:r>
        <w:rPr>
          <w:lang w:eastAsia="zh-CN"/>
        </w:rPr>
        <w:t xml:space="preserve"> This additional latency is unnecessary especially for basic single beam system. It may be okay to have such restriction in Rel-15 because FR1 cross-carrier scheduling FR2 carrier is anyway not supported in Rel-15. Given that cross carrier scheduling with different numerologies is supported in Rel-16, this restriction will limit the use cases of cross-carrier scheduling, e.g. latency sensitive traffic would not work well in such case.</w:t>
      </w:r>
    </w:p>
    <w:p>
      <w:pPr>
        <w:rPr>
          <w:lang w:eastAsia="zh-CN"/>
        </w:rPr>
      </w:pPr>
      <w:r>
        <w:rPr>
          <w:rFonts w:hint="eastAsia"/>
          <w:lang w:eastAsia="zh-CN"/>
        </w:rPr>
        <w:t>Both Alt 2</w:t>
      </w:r>
      <w:r>
        <w:rPr>
          <w:lang w:eastAsia="zh-CN"/>
        </w:rPr>
        <w:t xml:space="preserve"> and </w:t>
      </w:r>
      <w:r>
        <w:rPr>
          <w:rFonts w:hint="eastAsia"/>
          <w:lang w:eastAsia="zh-CN"/>
        </w:rPr>
        <w:t>Alt 3</w:t>
      </w:r>
      <w:r>
        <w:rPr>
          <w:lang w:eastAsia="zh-CN"/>
        </w:rPr>
        <w:t xml:space="preserve"> </w:t>
      </w:r>
      <w:r>
        <w:rPr>
          <w:rFonts w:hint="eastAsia"/>
          <w:lang w:eastAsia="zh-CN"/>
        </w:rPr>
        <w:t xml:space="preserve">provide </w:t>
      </w:r>
      <w:r>
        <w:rPr>
          <w:lang w:eastAsia="zh-CN"/>
        </w:rPr>
        <w:t>a default QCL assumption for the cases where the scheduling timing offset is smaller than the threshold, or if tci-PresentInDCI is not enabled for DCI format 1_1. With the default QCL assumption, UE can further decrease and even eliminate the scheduling timing offset for cross-carrier scheduling.</w:t>
      </w:r>
      <w:r>
        <w:rPr>
          <w:rFonts w:hint="eastAsia"/>
          <w:lang w:eastAsia="zh-CN"/>
        </w:rPr>
        <w:t xml:space="preserve"> However, it is natural to adopt Alt 3 as we always use the lowest ID to represent the default configuration since Rel-15.</w:t>
      </w:r>
    </w:p>
    <w:p>
      <w:pPr>
        <w:pStyle w:val="131"/>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If the scheduling timing offset is smaller than the threshold, or if tci-PresentInDCI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pPr>
        <w:pStyle w:val="3"/>
        <w:rPr>
          <w:lang w:val="en-US" w:eastAsia="zh-CN"/>
        </w:rPr>
      </w:pPr>
      <w:r>
        <w:rPr>
          <w:rFonts w:hint="eastAsia"/>
          <w:lang w:val="en-US" w:eastAsia="zh-CN"/>
        </w:rPr>
        <w:t xml:space="preserve">QCL assumptions other than </w:t>
      </w:r>
      <w:r>
        <w:t>QCL-TypeD</w:t>
      </w:r>
    </w:p>
    <w:p>
      <w:pPr>
        <w:snapToGrid w:val="0"/>
        <w:spacing w:before="120" w:beforeLines="50" w:after="120" w:afterLines="50"/>
      </w:pPr>
      <w:r>
        <w:rPr>
          <w:rFonts w:hint="eastAsia"/>
        </w:rPr>
        <w:t xml:space="preserve">For </w:t>
      </w:r>
      <w:r>
        <w:rPr>
          <w:rFonts w:hint="eastAsia"/>
          <w:lang w:eastAsia="zh-CN"/>
        </w:rPr>
        <w:t>self-</w:t>
      </w:r>
      <w:r>
        <w:rPr>
          <w:rFonts w:hint="eastAsia"/>
        </w:rPr>
        <w:t xml:space="preserve">scheduling, PDSCH and its PDCCH can be </w:t>
      </w:r>
      <w:r>
        <w:t>quasi co-locat</w:t>
      </w:r>
      <w:r>
        <w:rPr>
          <w:rFonts w:hint="eastAsia"/>
        </w:rPr>
        <w:t xml:space="preserve">ed </w:t>
      </w:r>
      <w:r>
        <w:t>w.r.t.</w:t>
      </w:r>
      <w:r>
        <w:rPr>
          <w:rFonts w:hint="eastAsia"/>
        </w:rPr>
        <w:t xml:space="preserve"> all QCL parameters. However, for cross-CC scheduling as shown in </w:t>
      </w:r>
      <w:r>
        <w:fldChar w:fldCharType="begin"/>
      </w:r>
      <w:r>
        <w:instrText xml:space="preserve"> REF _Ref23673 \h </w:instrText>
      </w:r>
      <w:r>
        <w:fldChar w:fldCharType="separate"/>
      </w:r>
      <w:r>
        <w:t xml:space="preserve">Figure </w:t>
      </w:r>
      <w:r>
        <w:fldChar w:fldCharType="end"/>
      </w:r>
      <w:r>
        <w:rPr>
          <w:rFonts w:hint="eastAsia"/>
          <w:lang w:eastAsia="zh-CN"/>
        </w:rPr>
        <w:t>6</w:t>
      </w:r>
      <w:r>
        <w:rPr>
          <w:rFonts w:hint="eastAsia"/>
        </w:rPr>
        <w:t xml:space="preserve">, PDSCH and CORESET of PDCCH </w:t>
      </w:r>
      <w:r>
        <w:t>may not</w:t>
      </w:r>
      <w:r>
        <w:rPr>
          <w:rFonts w:hint="eastAsia"/>
        </w:rPr>
        <w:t xml:space="preserve"> be </w:t>
      </w:r>
      <w:r>
        <w:t>quasi co-locat</w:t>
      </w:r>
      <w:r>
        <w:rPr>
          <w:rFonts w:hint="eastAsia"/>
        </w:rPr>
        <w:t>ed</w:t>
      </w:r>
      <w:r>
        <w:t xml:space="preserve"> w.r.t.</w:t>
      </w:r>
      <w:r>
        <w:rPr>
          <w:rFonts w:hint="eastAsia"/>
        </w:rPr>
        <w:t xml:space="preserve"> Doppler shift, Doppler spread, average delay, delay spread because different CCs </w:t>
      </w:r>
      <w:r>
        <w:t>may have different channel properties due to a large frequency gap between CCs</w:t>
      </w:r>
      <w:r>
        <w:rPr>
          <w:rFonts w:hint="eastAsia"/>
        </w:rPr>
        <w:t>.</w:t>
      </w:r>
      <w:r>
        <w:t xml:space="preserve"> Degradation is expected if multiple CCs share the same QCL parameters. Regarding the spatial Rx parameter, it can be okay since multiple CCs may need to share the same receive beam anyway. </w:t>
      </w:r>
      <w:r>
        <w:rPr>
          <w:rFonts w:hint="eastAsia"/>
        </w:rPr>
        <w:t xml:space="preserve">In other words, only QCL-TypeD of PDCCH can be used for PDSCH in the case of cross-CC scheduling. </w:t>
      </w:r>
    </w:p>
    <w:p>
      <w:pPr>
        <w:snapToGrid w:val="0"/>
        <w:spacing w:before="120" w:beforeLines="50" w:after="120" w:afterLines="50"/>
        <w:rPr>
          <w:lang w:eastAsia="zh-CN"/>
        </w:rPr>
      </w:pPr>
      <w:r>
        <w:rPr>
          <w:rFonts w:hint="eastAsia"/>
          <w:lang w:eastAsia="zh-CN"/>
        </w:rPr>
        <w:t xml:space="preserve">Furthermore, UE needs some time to determine and apply spatial QCL information for corresponding PDSCH reception. While for all the QCL assumptions </w:t>
      </w:r>
      <w:r>
        <w:t>other than QCL-TypeD</w:t>
      </w:r>
      <w:r>
        <w:rPr>
          <w:rFonts w:hint="eastAsia"/>
          <w:lang w:eastAsia="zh-CN"/>
        </w:rPr>
        <w:t xml:space="preserve">, which are mainly used in the baseband processing, UE is allowed to receive the PDSCH and determine </w:t>
      </w:r>
      <w:r>
        <w:rPr>
          <w:lang w:eastAsia="zh-CN"/>
        </w:rPr>
        <w:t>and</w:t>
      </w:r>
      <w:r>
        <w:rPr>
          <w:rFonts w:hint="eastAsia"/>
          <w:lang w:eastAsia="zh-CN"/>
        </w:rPr>
        <w:t xml:space="preserve"> apply QCL assumptions other than </w:t>
      </w:r>
      <w:r>
        <w:t>QCL-TypeD</w:t>
      </w:r>
      <w:r>
        <w:rPr>
          <w:lang w:eastAsia="zh-CN"/>
        </w:rPr>
        <w:t xml:space="preserve"> after the PDSCH reception</w:t>
      </w:r>
      <w:r>
        <w:rPr>
          <w:rFonts w:hint="eastAsia"/>
          <w:lang w:eastAsia="zh-CN"/>
        </w:rPr>
        <w:t>.</w:t>
      </w:r>
    </w:p>
    <w:p>
      <w:pPr>
        <w:snapToGrid w:val="0"/>
        <w:spacing w:before="120" w:beforeLines="50" w:after="120" w:afterLines="50"/>
      </w:pPr>
      <w:r>
        <w:rPr>
          <w:rFonts w:hint="eastAsia"/>
          <w:lang w:eastAsia="zh-CN"/>
        </w:rPr>
        <w:t>Thus, w</w:t>
      </w:r>
      <w:r>
        <w:rPr>
          <w:rFonts w:hint="eastAsia"/>
        </w:rPr>
        <w:t xml:space="preserve">hen TCI field is present in DCI for cross-CC scheduling, if </w:t>
      </w:r>
      <w:r>
        <w:t xml:space="preserve">the time offset between the reception of the DL DCI and the corresponding PDSCH is </w:t>
      </w:r>
      <w:r>
        <w:rPr>
          <w:rFonts w:hint="eastAsia"/>
        </w:rPr>
        <w:t>smaller</w:t>
      </w:r>
      <w:r>
        <w:t xml:space="preserve"> than a threshold </w:t>
      </w:r>
      <w:r>
        <w:rPr>
          <w:i/>
          <w:iCs/>
        </w:rPr>
        <w:t>Threshold-Sched-Offset</w:t>
      </w:r>
      <w:r>
        <w:rPr>
          <w:rFonts w:hint="eastAsia"/>
        </w:rPr>
        <w:t xml:space="preserve">, UE can still obtain </w:t>
      </w:r>
      <w:r>
        <w:t>the QCL assumptions other than QCL-TypeD from</w:t>
      </w:r>
      <w:r>
        <w:rPr>
          <w:rFonts w:hint="eastAsia"/>
        </w:rPr>
        <w:t xml:space="preserve"> the indicated TCI state in </w:t>
      </w:r>
      <w:r>
        <w:rPr>
          <w:rFonts w:hint="eastAsia"/>
          <w:i/>
          <w:iCs/>
        </w:rPr>
        <w:t xml:space="preserve">DCI </w:t>
      </w:r>
      <w:r>
        <w:rPr>
          <w:rFonts w:hint="eastAsia"/>
        </w:rPr>
        <w:t xml:space="preserve">for the PDSCH. </w:t>
      </w:r>
      <w:r>
        <w:t xml:space="preserve">The QCL assumptions based on DCI indication can be </w:t>
      </w:r>
      <w:r>
        <w:rPr>
          <w:rFonts w:hint="eastAsia"/>
          <w:lang w:eastAsia="zh-CN"/>
        </w:rPr>
        <w:t xml:space="preserve">further </w:t>
      </w:r>
      <w:r>
        <w:t>updated.</w:t>
      </w:r>
    </w:p>
    <w:p>
      <w:pPr>
        <w:snapToGrid w:val="0"/>
        <w:spacing w:before="120" w:beforeLines="50" w:after="120" w:afterLines="50"/>
        <w:jc w:val="center"/>
        <w:rPr>
          <w:lang w:val="en-GB"/>
        </w:rPr>
      </w:pPr>
      <w:r>
        <w:rPr>
          <w:lang w:eastAsia="zh-CN"/>
        </w:rPr>
        <w:drawing>
          <wp:inline distT="0" distB="0" distL="114300" distR="114300">
            <wp:extent cx="3782695" cy="1715135"/>
            <wp:effectExtent l="0" t="0" r="8255" b="18415"/>
            <wp:docPr id="1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0"/>
                    <pic:cNvPicPr>
                      <a:picLocks noChangeAspect="1"/>
                    </pic:cNvPicPr>
                  </pic:nvPicPr>
                  <pic:blipFill>
                    <a:blip r:embed="rId13"/>
                    <a:stretch>
                      <a:fillRect/>
                    </a:stretch>
                  </pic:blipFill>
                  <pic:spPr>
                    <a:xfrm>
                      <a:off x="0" y="0"/>
                      <a:ext cx="3782695" cy="1715135"/>
                    </a:xfrm>
                    <a:prstGeom prst="rect">
                      <a:avLst/>
                    </a:prstGeom>
                    <a:noFill/>
                    <a:ln w="9525">
                      <a:noFill/>
                    </a:ln>
                  </pic:spPr>
                </pic:pic>
              </a:graphicData>
            </a:graphic>
          </wp:inline>
        </w:drawing>
      </w:r>
    </w:p>
    <w:p>
      <w:pPr>
        <w:pStyle w:val="30"/>
        <w:snapToGrid w:val="0"/>
        <w:spacing w:beforeLines="50" w:afterLines="50"/>
        <w:jc w:val="center"/>
        <w:rPr>
          <w:sz w:val="21"/>
          <w:szCs w:val="22"/>
          <w:lang w:eastAsia="zh-CN"/>
        </w:rPr>
      </w:pPr>
      <w:bookmarkStart w:id="8" w:name="_Ref23673"/>
      <w:r>
        <w:rPr>
          <w:bCs w:val="0"/>
        </w:rPr>
        <w:t xml:space="preserve">Figure </w:t>
      </w:r>
      <w:r>
        <w:rPr>
          <w:bCs w:val="0"/>
        </w:rPr>
        <w:fldChar w:fldCharType="begin"/>
      </w:r>
      <w:r>
        <w:rPr>
          <w:bCs w:val="0"/>
        </w:rPr>
        <w:instrText xml:space="preserve"> SEQ Figure \* ARABIC </w:instrText>
      </w:r>
      <w:r>
        <w:rPr>
          <w:bCs w:val="0"/>
        </w:rPr>
        <w:fldChar w:fldCharType="separate"/>
      </w:r>
      <w:r>
        <w:rPr>
          <w:bCs w:val="0"/>
        </w:rPr>
        <w:t>6</w:t>
      </w:r>
      <w:r>
        <w:rPr>
          <w:bCs w:val="0"/>
        </w:rPr>
        <w:fldChar w:fldCharType="end"/>
      </w:r>
      <w:bookmarkEnd w:id="8"/>
      <w:r>
        <w:rPr>
          <w:bCs w:val="0"/>
        </w:rPr>
        <w:t>.</w:t>
      </w:r>
      <w:r>
        <w:rPr>
          <w:rFonts w:hint="eastAsia"/>
          <w:bCs w:val="0"/>
          <w:lang w:eastAsia="zh-CN"/>
        </w:rPr>
        <w:t xml:space="preserve"> </w:t>
      </w:r>
      <w:r>
        <w:rPr>
          <w:rFonts w:hint="eastAsia"/>
          <w:bCs w:val="0"/>
          <w:lang w:val="en-GB"/>
        </w:rPr>
        <w:t>Cross-</w:t>
      </w:r>
      <w:r>
        <w:rPr>
          <w:rFonts w:hint="eastAsia"/>
          <w:bCs w:val="0"/>
          <w:lang w:eastAsia="zh-CN"/>
        </w:rPr>
        <w:t>carrier</w:t>
      </w:r>
      <w:r>
        <w:rPr>
          <w:rFonts w:hint="eastAsia"/>
          <w:bCs w:val="0"/>
          <w:lang w:val="en-GB"/>
        </w:rPr>
        <w:t xml:space="preserve"> scheduling</w:t>
      </w:r>
    </w:p>
    <w:p>
      <w:pPr>
        <w:pStyle w:val="131"/>
        <w:numPr>
          <w:ilvl w:val="0"/>
          <w:numId w:val="0"/>
        </w:numPr>
      </w:pPr>
      <w:r>
        <w:rPr>
          <w:rFonts w:hint="eastAsia" w:eastAsia="宋体"/>
          <w:b/>
          <w:bCs/>
          <w:lang w:eastAsia="zh-CN"/>
        </w:rPr>
        <w:t xml:space="preserve">Proposal </w:t>
      </w:r>
      <w:r>
        <w:rPr>
          <w:rFonts w:eastAsia="宋体"/>
          <w:b/>
          <w:bCs/>
          <w:lang w:eastAsia="zh-CN"/>
        </w:rPr>
        <w:t>7</w:t>
      </w:r>
      <w:r>
        <w:rPr>
          <w:rFonts w:hint="eastAsia" w:eastAsia="宋体"/>
          <w:b/>
          <w:bCs/>
          <w:lang w:eastAsia="zh-CN"/>
        </w:rPr>
        <w:t>:</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QCL-TypeD from</w:t>
      </w:r>
      <w:r>
        <w:rPr>
          <w:rFonts w:hint="eastAsia"/>
        </w:rPr>
        <w:t xml:space="preserve"> the indicated TCI state in DCI for the PDSCH.</w:t>
      </w:r>
    </w:p>
    <w:p>
      <w:pPr>
        <w:pStyle w:val="3"/>
        <w:rPr>
          <w:lang w:eastAsia="zh-CN"/>
        </w:rPr>
      </w:pPr>
      <w:r>
        <w:rPr>
          <w:lang w:val="en-US" w:eastAsia="zh-CN"/>
        </w:rPr>
        <w:t>Clarifications on time domain thresholds for QCL indication</w:t>
      </w:r>
      <w:r>
        <w:rPr>
          <w:rFonts w:hint="eastAsia"/>
          <w:lang w:val="en-US" w:eastAsia="zh-CN"/>
        </w:rPr>
        <w:t xml:space="preserve"> </w:t>
      </w:r>
    </w:p>
    <w:p>
      <w:pPr>
        <w:pStyle w:val="131"/>
        <w:numPr>
          <w:ilvl w:val="0"/>
          <w:numId w:val="0"/>
        </w:numPr>
        <w:rPr>
          <w:rFonts w:eastAsiaTheme="minorEastAsia"/>
          <w:i w:val="0"/>
          <w:lang w:eastAsia="zh-CN"/>
        </w:rPr>
      </w:pPr>
      <w:r>
        <w:rPr>
          <w:i w:val="0"/>
          <w:lang w:eastAsia="zh-CN"/>
        </w:rPr>
        <w:t xml:space="preserve">Another remaining issue for QCL assumption is related to the threshold used for applying spatial QCL information received in DCI. </w:t>
      </w:r>
      <w:r>
        <w:rPr>
          <w:rFonts w:hint="eastAsia" w:eastAsiaTheme="minorEastAsia"/>
          <w:i w:val="0"/>
          <w:lang w:eastAsia="zh-CN"/>
        </w:rPr>
        <w:t>T</w:t>
      </w:r>
      <w:r>
        <w:rPr>
          <w:rFonts w:eastAsiaTheme="minorEastAsia"/>
          <w:i w:val="0"/>
          <w:lang w:eastAsia="zh-CN"/>
        </w:rPr>
        <w:t>he current definition in TS38.306 is described as follo</w:t>
      </w:r>
      <w:r>
        <w:rPr>
          <w:rFonts w:hint="eastAsia" w:eastAsiaTheme="minorEastAsia"/>
          <w:i w:val="0"/>
          <w:lang w:eastAsia="zh-CN"/>
        </w:rPr>
        <w:t>ws:</w:t>
      </w:r>
    </w:p>
    <w:p>
      <w:pPr>
        <w:pStyle w:val="65"/>
        <w:rPr>
          <w:b/>
          <w:bCs/>
          <w:i/>
          <w:iCs/>
          <w:lang w:eastAsia="zh-CN"/>
        </w:rPr>
      </w:pPr>
      <w:r>
        <w:rPr>
          <w:b/>
          <w:bCs/>
          <w:i/>
          <w:iCs/>
        </w:rPr>
        <w:t>timeDurationForQCL</w:t>
      </w:r>
    </w:p>
    <w:p>
      <w:pPr>
        <w:rPr>
          <w:i/>
        </w:rPr>
      </w:pPr>
      <w:r>
        <w:rPr>
          <w:i/>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p>
      <w:pPr>
        <w:pStyle w:val="131"/>
        <w:numPr>
          <w:ilvl w:val="0"/>
          <w:numId w:val="0"/>
        </w:numPr>
        <w:rPr>
          <w:i w:val="0"/>
          <w:lang w:eastAsia="zh-CN"/>
        </w:rPr>
      </w:pPr>
      <w:r>
        <w:rPr>
          <w:i w:val="0"/>
          <w:lang w:eastAsia="zh-CN"/>
        </w:rPr>
        <w:t xml:space="preserve">Therefore, this threshold is reported per each subcarrier spacing. However, it is not clear whether subcarrier spacing of scheduled cell or scheduling cell it refers to. </w:t>
      </w:r>
    </w:p>
    <w:p>
      <w:r>
        <w:t xml:space="preserve">In Subclause 5.1.5 of TS 38.214, the corresponding description related to the threshold is </w:t>
      </w:r>
    </w:p>
    <w:p>
      <w:pPr>
        <w:rPr>
          <w:color w:val="000000"/>
        </w:rPr>
      </w:pPr>
      <w:r>
        <w:t>“</w:t>
      </w:r>
      <w:r>
        <w:rPr>
          <w:color w:val="000000"/>
        </w:rPr>
        <w:t xml:space="preserve">the time offset between the reception of the DL DCI and the corresponding PDSCH is equal to or greater than a threshold </w:t>
      </w:r>
      <w:r>
        <w:rPr>
          <w:i/>
          <w:iCs/>
          <w:color w:val="000000"/>
        </w:rPr>
        <w:t>Threshold-Sched-Offset…</w:t>
      </w:r>
      <w:r>
        <w:rPr>
          <w:color w:val="000000"/>
        </w:rPr>
        <w:t xml:space="preserve">”. </w:t>
      </w:r>
    </w:p>
    <w:p>
      <w:pPr>
        <w:rPr>
          <w:color w:val="000000"/>
        </w:rPr>
      </w:pPr>
      <w:r>
        <w:rPr>
          <w:color w:val="000000"/>
        </w:rPr>
        <w:t xml:space="preserve">It is not clear whether the time offset and the threshold depends on the numerology of PDSCH </w:t>
      </w:r>
      <w:r>
        <w:rPr>
          <w:rFonts w:hint="eastAsia"/>
          <w:color w:val="000000"/>
          <w:lang w:eastAsia="zh-CN"/>
        </w:rPr>
        <w:t>i.e.</w:t>
      </w:r>
      <w:r>
        <w:rPr>
          <w:color w:val="000000"/>
          <w:lang w:eastAsia="zh-CN"/>
        </w:rPr>
        <w:t xml:space="preserve"> </w:t>
      </w:r>
      <w:r>
        <w:rPr>
          <w:color w:val="000000"/>
        </w:rPr>
        <w:t>scheduled cell or DCI i.e. scheduling cell.</w:t>
      </w:r>
    </w:p>
    <w:p>
      <w:pPr>
        <w:rPr>
          <w:lang w:eastAsia="zh-CN"/>
        </w:rPr>
      </w:pPr>
      <w:r>
        <w:rPr>
          <w:lang w:eastAsia="zh-CN"/>
        </w:rPr>
        <w:t xml:space="preserve">Therefore, we propose to clarify that the threshold corresponding to the numerology of the scheduled cell should be used. </w:t>
      </w:r>
    </w:p>
    <w:p>
      <w:pPr>
        <w:pStyle w:val="131"/>
        <w:numPr>
          <w:ilvl w:val="0"/>
          <w:numId w:val="0"/>
        </w:numPr>
        <w:rPr>
          <w:i w:val="0"/>
        </w:rPr>
      </w:pPr>
      <w:r>
        <w:rPr>
          <w:rFonts w:hint="eastAsia" w:eastAsia="宋体"/>
          <w:b/>
          <w:bCs/>
          <w:lang w:eastAsia="zh-CN"/>
        </w:rPr>
        <w:t xml:space="preserve">Proposal </w:t>
      </w:r>
      <w:r>
        <w:rPr>
          <w:rFonts w:eastAsia="宋体"/>
          <w:b/>
          <w:bCs/>
          <w:lang w:eastAsia="zh-CN"/>
        </w:rPr>
        <w:t>8</w:t>
      </w:r>
      <w:r>
        <w:rPr>
          <w:rFonts w:hint="eastAsia" w:eastAsia="宋体"/>
          <w:b/>
          <w:bCs/>
          <w:lang w:eastAsia="zh-CN"/>
        </w:rPr>
        <w:t>:</w:t>
      </w:r>
      <w:r>
        <w:rPr>
          <w:rFonts w:hint="eastAsia" w:eastAsia="宋体"/>
          <w:lang w:eastAsia="zh-CN"/>
        </w:rPr>
        <w:t xml:space="preserve"> </w:t>
      </w:r>
      <w:r>
        <w:t xml:space="preserve">Clarify in TS38.214 that </w:t>
      </w:r>
      <w:r>
        <w:rPr>
          <w:rFonts w:eastAsia="宋体"/>
          <w:lang w:eastAsia="zh-CN"/>
        </w:rPr>
        <w:t>the threshold for QCL indication via TCI in DCI corresponds to the numerology of the scheduled cell</w:t>
      </w:r>
      <w:r>
        <w:t xml:space="preserve"> for the case of cross-carrier PDSCH scheduling with mixed numerologies.</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T</w:t>
      </w:r>
      <w:r>
        <w:rPr>
          <w:lang w:val="en-GB" w:eastAsia="zh-CN"/>
        </w:rPr>
        <w:t>o sum up, the following observations and contributions are present in this contribution.</w:t>
      </w:r>
    </w:p>
    <w:p>
      <w:pPr>
        <w:rPr>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pPr>
        <w:rPr>
          <w:i/>
          <w:lang w:val="en-GB" w:eastAsia="zh-CN"/>
        </w:rPr>
      </w:pPr>
      <w:r>
        <w:rPr>
          <w:rFonts w:hint="eastAsia"/>
          <w:b/>
          <w:i/>
          <w:lang w:val="en-GB" w:eastAsia="zh-CN"/>
        </w:rPr>
        <w:t>O</w:t>
      </w:r>
      <w:r>
        <w:rPr>
          <w:b/>
          <w:i/>
          <w:lang w:val="en-GB" w:eastAsia="zh-CN"/>
        </w:rPr>
        <w:t>bservation 3</w:t>
      </w:r>
      <w:r>
        <w:rPr>
          <w:i/>
          <w:lang w:val="en-GB" w:eastAsia="zh-CN"/>
        </w:rPr>
        <w:t>: The value of minimum K0 depends on the ending symbol of PDCCH.</w:t>
      </w:r>
    </w:p>
    <w:p>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PDSCH</m:t>
                    </m:r>
                    <m:ctrlPr>
                      <w:rPr>
                        <w:rFonts w:ascii="Cambria Math" w:hAnsi="Cambria Math"/>
                        <w:lang w:eastAsia="zh-CN"/>
                      </w:rPr>
                    </m:ctrlPr>
                  </m:sub>
                </m:sSub>
                <m:ctrlPr>
                  <w:rPr>
                    <w:rFonts w:ascii="Cambria Math" w:hAnsi="Cambria Math"/>
                    <w:i/>
                    <w:lang w:eastAsia="zh-CN"/>
                  </w:rPr>
                </m:ctrlPr>
              </m:sup>
            </m:sSup>
            <m:ctrlPr>
              <w:rPr>
                <w:rFonts w:ascii="Cambria Math" w:hAnsi="Cambria Math"/>
                <w:lang w:eastAsia="zh-CN"/>
              </w:rPr>
            </m:ctrlPr>
          </m:num>
          <m:den>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sSub>
                  <m:sSubPr>
                    <m:ctrlPr>
                      <w:rPr>
                        <w:rFonts w:ascii="Cambria Math" w:hAnsi="Cambria Math"/>
                        <w:lang w:eastAsia="zh-CN"/>
                      </w:rPr>
                    </m:ctrlPr>
                  </m:sSubPr>
                  <m:e>
                    <m:r>
                      <m:rPr>
                        <m:sty m:val="p"/>
                      </m:rPr>
                      <w:rPr>
                        <w:rFonts w:ascii="Cambria Math" w:hAnsi="Cambria Math"/>
                        <w:lang w:eastAsia="zh-CN"/>
                      </w:rPr>
                      <m:t>μ</m:t>
                    </m:r>
                    <m:ctrlPr>
                      <w:rPr>
                        <w:rFonts w:ascii="Cambria Math" w:hAnsi="Cambria Math"/>
                        <w:lang w:eastAsia="zh-CN"/>
                      </w:rPr>
                    </m:ctrlPr>
                  </m:e>
                  <m:sub>
                    <m:r>
                      <w:rPr>
                        <w:rFonts w:ascii="Cambria Math" w:hAnsi="Cambria Math"/>
                        <w:lang w:eastAsia="zh-CN"/>
                      </w:rPr>
                      <m:t>PDCCH</m:t>
                    </m:r>
                    <m:ctrlPr>
                      <w:rPr>
                        <w:rFonts w:ascii="Cambria Math" w:hAnsi="Cambria Math"/>
                        <w:lang w:eastAsia="zh-CN"/>
                      </w:rPr>
                    </m:ctrlPr>
                  </m:sub>
                </m:sSub>
                <m:ctrlPr>
                  <w:rPr>
                    <w:rFonts w:ascii="Cambria Math" w:hAnsi="Cambria Math"/>
                    <w:i/>
                    <w:lang w:eastAsia="zh-CN"/>
                  </w:rPr>
                </m:ctrlPr>
              </m:sup>
            </m:sSup>
            <m:ctrlPr>
              <w:rPr>
                <w:rFonts w:ascii="Cambria Math" w:hAnsi="Cambria Math"/>
                <w:lang w:eastAsia="zh-CN"/>
              </w:rPr>
            </m:ctrlPr>
          </m:den>
        </m:f>
      </m:oMath>
      <w:r>
        <w:rPr>
          <w:i/>
          <w:lang w:eastAsia="zh-CN"/>
        </w:rPr>
        <w:t xml:space="preserve"> DL/UL slots.</w:t>
      </w:r>
    </w:p>
    <w:p>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PDSCH-TimeDomainResourceAllocation.</w:t>
      </w:r>
    </w:p>
    <w:p>
      <w:pPr>
        <w:rPr>
          <w:i/>
          <w:lang w:eastAsia="zh-CN"/>
        </w:rPr>
      </w:pPr>
      <w:r>
        <w:rPr>
          <w:rFonts w:hint="eastAsia"/>
          <w:b/>
          <w:i/>
          <w:lang w:eastAsia="zh-CN"/>
        </w:rPr>
        <w:t>P</w:t>
      </w:r>
      <w:r>
        <w:rPr>
          <w:b/>
          <w:i/>
          <w:lang w:eastAsia="zh-CN"/>
        </w:rPr>
        <w:t>roposal</w:t>
      </w:r>
      <w:r>
        <w:rPr>
          <w:i/>
          <w:lang w:eastAsia="zh-CN"/>
        </w:rPr>
        <w:t xml:space="preserve"> 3: To support multi-slot scheduling,</w:t>
      </w:r>
    </w:p>
    <w:p>
      <w:pPr>
        <w:numPr>
          <w:ilvl w:val="0"/>
          <w:numId w:val="13"/>
        </w:numPr>
        <w:ind w:left="840"/>
        <w:rPr>
          <w:i/>
          <w:lang w:eastAsia="zh-CN"/>
        </w:rPr>
      </w:pPr>
      <w:r>
        <w:rPr>
          <w:rFonts w:hint="eastAsia"/>
          <w:i/>
          <w:lang w:eastAsia="zh-CN"/>
        </w:rPr>
        <w:t>A</w:t>
      </w:r>
      <w:r>
        <w:rPr>
          <w:i/>
          <w:lang w:eastAsia="zh-CN"/>
        </w:rPr>
        <w:t xml:space="preserve"> group of TCI states can be put into a TCI state set;</w:t>
      </w:r>
    </w:p>
    <w:p>
      <w:pPr>
        <w:numPr>
          <w:ilvl w:val="0"/>
          <w:numId w:val="13"/>
        </w:numPr>
        <w:ind w:left="840"/>
        <w:rPr>
          <w:i/>
          <w:lang w:eastAsia="zh-CN"/>
        </w:rPr>
      </w:pPr>
      <w:r>
        <w:rPr>
          <w:i/>
          <w:lang w:eastAsia="zh-CN"/>
        </w:rPr>
        <w:t>Each DCI codepoint in the scheduling DCI corresponds to one of the configured TCI state sets;</w:t>
      </w:r>
    </w:p>
    <w:p>
      <w:pPr>
        <w:numPr>
          <w:ilvl w:val="0"/>
          <w:numId w:val="13"/>
        </w:numPr>
        <w:ind w:left="840"/>
        <w:rPr>
          <w:rFonts w:hint="eastAsia"/>
          <w:i/>
          <w:lang w:val="en-GB" w:eastAsia="zh-CN"/>
        </w:rPr>
      </w:pPr>
      <w:r>
        <w:rPr>
          <w:i/>
          <w:lang w:val="en-GB" w:eastAsia="zh-CN"/>
        </w:rPr>
        <w:t>Each TCI state within the determined set corresponds to the TCI state of each scheduled slot.</w:t>
      </w:r>
    </w:p>
    <w:p>
      <w:pPr>
        <w:rPr>
          <w:i/>
          <w:lang w:val="en-GB" w:eastAsia="zh-CN"/>
        </w:rPr>
      </w:pPr>
      <w:r>
        <w:rPr>
          <w:b/>
          <w:i/>
          <w:lang w:val="en-GB" w:eastAsia="zh-CN"/>
        </w:rPr>
        <w:t>Proposal 4</w:t>
      </w:r>
      <w:r>
        <w:rPr>
          <w:i/>
          <w:lang w:val="en-GB" w:eastAsia="zh-CN"/>
        </w:rPr>
        <w:t xml:space="preserve">: Define the </w:t>
      </w:r>
      <w:r>
        <w:rPr>
          <w:i/>
        </w:rPr>
        <w:sym w:font="Symbol" w:char="F044"/>
      </w:r>
      <w:r>
        <w:rPr>
          <w:i/>
          <w:lang w:val="en-GB" w:eastAsia="zh-CN"/>
        </w:rPr>
        <w:t xml:space="preserve"> as</w:t>
      </w:r>
    </w:p>
    <w:p>
      <w:pPr>
        <w:jc w:val="center"/>
        <w:rPr>
          <w:i/>
          <w:lang w:val="en-GB" w:eastAsia="zh-CN"/>
        </w:rPr>
      </w:pPr>
      <m:oMath>
        <m:sSub>
          <m:sSubPr>
            <m:ctrlPr>
              <w:rPr>
                <w:rFonts w:ascii="Cambria Math" w:hAnsi="Cambria Math"/>
                <w:i/>
                <w:lang w:val="en-GB" w:eastAsia="zh-CN"/>
              </w:rPr>
            </m:ctrlPr>
          </m:sSubPr>
          <m:e>
            <m:r>
              <w:rPr>
                <w:rFonts w:ascii="Cambria Math" w:hAnsi="Cambria Math"/>
                <w:lang w:val="en-GB" w:eastAsia="zh-CN"/>
              </w:rPr>
              <m:t>T</m:t>
            </m:r>
            <m:ctrlPr>
              <w:rPr>
                <w:rFonts w:ascii="Cambria Math" w:hAnsi="Cambria Math"/>
                <w:i/>
                <w:lang w:val="en-GB" w:eastAsia="zh-CN"/>
              </w:rPr>
            </m:ctrlPr>
          </m:e>
          <m:sub>
            <m:r>
              <w:rPr>
                <w:rFonts w:ascii="Cambria Math" w:hAnsi="Cambria Math"/>
                <w:lang w:val="en-GB" w:eastAsia="zh-CN"/>
              </w:rPr>
              <m:t>proc,0</m:t>
            </m:r>
            <m:ctrlPr>
              <w:rPr>
                <w:rFonts w:ascii="Cambria Math" w:hAnsi="Cambria Math"/>
                <w:i/>
                <w:lang w:val="en-GB" w:eastAsia="zh-CN"/>
              </w:rPr>
            </m:ctrlPr>
          </m:sub>
        </m:sSub>
        <m:r>
          <w:rPr>
            <w:rFonts w:ascii="Cambria Math" w:hAnsi="Cambria Math"/>
            <w:lang w:val="en-GB" w:eastAsia="zh-CN"/>
          </w:rPr>
          <m:t>=</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N</m:t>
                </m:r>
                <m:ctrlPr>
                  <w:rPr>
                    <w:rFonts w:ascii="Cambria Math" w:hAnsi="Cambria Math"/>
                    <w:i/>
                    <w:lang w:val="en-GB" w:eastAsia="zh-CN"/>
                  </w:rPr>
                </m:ctrlPr>
              </m:e>
              <m:sub>
                <m:r>
                  <w:rPr>
                    <w:rFonts w:ascii="Cambria Math" w:hAnsi="Cambria Math"/>
                    <w:lang w:val="en-GB" w:eastAsia="zh-CN"/>
                  </w:rPr>
                  <m:t>0</m:t>
                </m:r>
                <m:ctrlPr>
                  <w:rPr>
                    <w:rFonts w:ascii="Cambria Math" w:hAnsi="Cambria Math"/>
                    <w:i/>
                    <w:lang w:val="en-GB" w:eastAsia="zh-CN"/>
                  </w:rPr>
                </m:ctrlP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d</m:t>
                </m:r>
                <m:ctrlPr>
                  <w:rPr>
                    <w:rFonts w:ascii="Cambria Math" w:hAnsi="Cambria Math"/>
                    <w:i/>
                    <w:lang w:val="en-GB" w:eastAsia="zh-CN"/>
                  </w:rPr>
                </m:ctrlPr>
              </m:e>
              <m:sub>
                <m:r>
                  <w:rPr>
                    <w:rFonts w:ascii="Cambria Math" w:hAnsi="Cambria Math"/>
                    <w:lang w:val="en-GB" w:eastAsia="zh-CN"/>
                  </w:rPr>
                  <m:t>0,1</m:t>
                </m:r>
                <m:ctrlPr>
                  <w:rPr>
                    <w:rFonts w:ascii="Cambria Math" w:hAnsi="Cambria Math"/>
                    <w:i/>
                    <w:lang w:val="en-GB" w:eastAsia="zh-CN"/>
                  </w:rPr>
                </m:ctrlPr>
              </m:sub>
            </m:sSub>
            <m:ctrlPr>
              <w:rPr>
                <w:rFonts w:ascii="Cambria Math" w:hAnsi="Cambria Math"/>
                <w:i/>
                <w:lang w:val="en-GB" w:eastAsia="zh-CN"/>
              </w:rPr>
            </m:ctrlPr>
          </m:e>
        </m:d>
        <m:d>
          <m:dPr>
            <m:ctrlPr>
              <w:rPr>
                <w:rFonts w:ascii="Cambria Math" w:hAnsi="Cambria Math"/>
                <w:i/>
                <w:lang w:val="en-GB" w:eastAsia="zh-CN"/>
              </w:rPr>
            </m:ctrlPr>
          </m:dPr>
          <m:e>
            <m:r>
              <w:rPr>
                <w:rFonts w:ascii="Cambria Math" w:hAnsi="Cambria Math"/>
                <w:lang w:val="en-GB" w:eastAsia="zh-CN"/>
              </w:rPr>
              <m:t>2048+144</m:t>
            </m:r>
            <m:ctrlPr>
              <w:rPr>
                <w:rFonts w:ascii="Cambria Math" w:hAnsi="Cambria Math"/>
                <w:i/>
                <w:lang w:val="en-GB" w:eastAsia="zh-CN"/>
              </w:rPr>
            </m:ctrlPr>
          </m:e>
        </m:d>
        <m:r>
          <w:rPr>
            <w:rFonts w:ascii="Cambria Math" w:hAnsi="Cambria Math"/>
            <w:lang w:val="en-GB" w:eastAsia="zh-CN"/>
          </w:rPr>
          <m:t xml:space="preserve">∙κ </m:t>
        </m:r>
        <m:sSup>
          <m:sSupPr>
            <m:ctrlPr>
              <w:rPr>
                <w:rFonts w:ascii="Cambria Math" w:hAnsi="Cambria Math"/>
                <w:i/>
                <w:lang w:val="en-GB" w:eastAsia="zh-CN"/>
              </w:rPr>
            </m:ctrlPr>
          </m:sSupPr>
          <m:e>
            <m:r>
              <w:rPr>
                <w:rFonts w:ascii="Cambria Math" w:hAnsi="Cambria Math"/>
                <w:lang w:val="en-GB" w:eastAsia="zh-CN"/>
              </w:rPr>
              <m:t>2</m:t>
            </m:r>
            <m:ctrlPr>
              <w:rPr>
                <w:rFonts w:ascii="Cambria Math" w:hAnsi="Cambria Math"/>
                <w:i/>
                <w:lang w:val="en-GB" w:eastAsia="zh-CN"/>
              </w:rPr>
            </m:ctrlPr>
          </m:e>
          <m:sup>
            <m:r>
              <w:rPr>
                <w:rFonts w:ascii="Cambria Math" w:hAnsi="Cambria Math"/>
                <w:lang w:val="en-GB" w:eastAsia="zh-CN"/>
              </w:rPr>
              <m:t>-μ</m:t>
            </m:r>
            <m:ctrlPr>
              <w:rPr>
                <w:rFonts w:ascii="Cambria Math" w:hAnsi="Cambria Math"/>
                <w:i/>
                <w:lang w:val="en-GB" w:eastAsia="zh-CN"/>
              </w:rPr>
            </m:ctrlPr>
          </m:sup>
        </m:s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ctrlPr>
              <w:rPr>
                <w:rFonts w:ascii="Cambria Math" w:hAnsi="Cambria Math"/>
                <w:i/>
                <w:lang w:val="en-GB" w:eastAsia="zh-CN"/>
              </w:rPr>
            </m:ctrlPr>
          </m:e>
          <m:sub>
            <m:r>
              <w:rPr>
                <w:rFonts w:ascii="Cambria Math" w:hAnsi="Cambria Math"/>
                <w:lang w:val="en-GB" w:eastAsia="zh-CN"/>
              </w:rPr>
              <m:t>C</m:t>
            </m:r>
            <m:ctrlPr>
              <w:rPr>
                <w:rFonts w:ascii="Cambria Math" w:hAnsi="Cambria Math"/>
                <w:i/>
                <w:lang w:val="en-GB" w:eastAsia="zh-CN"/>
              </w:rPr>
            </m:ctrlPr>
          </m:sub>
        </m:sSub>
      </m:oMath>
      <w:r>
        <w:rPr>
          <w:rFonts w:hint="eastAsia"/>
          <w:i/>
          <w:lang w:val="en-GB" w:eastAsia="zh-CN"/>
        </w:rPr>
        <w:t>,</w:t>
      </w:r>
    </w:p>
    <w:p>
      <w:pPr>
        <w:rPr>
          <w:i/>
          <w:lang w:val="en-GB" w:eastAsia="zh-CN"/>
        </w:rPr>
      </w:pPr>
      <w:r>
        <w:rPr>
          <w:i/>
          <w:lang w:val="en-GB" w:eastAsia="zh-CN"/>
        </w:rPr>
        <w:t xml:space="preserve">where </w:t>
      </w:r>
      <w:r>
        <w:rPr>
          <w:i/>
          <w:color w:val="000000"/>
        </w:rPr>
        <w:t>N</w:t>
      </w:r>
      <w:r>
        <w:rPr>
          <w:i/>
          <w:color w:val="000000"/>
          <w:vertAlign w:val="subscript"/>
        </w:rPr>
        <w:t>0</w:t>
      </w:r>
      <w:r>
        <w:rPr>
          <w:i/>
          <w:color w:val="000000"/>
        </w:rPr>
        <w:t xml:space="preserve"> is the pre-defined value that depends on the UE capability and </w:t>
      </w:r>
      <m:oMath>
        <m:sSub>
          <m:sSubPr>
            <m:ctrlPr>
              <w:rPr>
                <w:rFonts w:ascii="Cambria Math" w:hAnsi="Cambria Math"/>
                <w:i/>
                <w:lang w:val="en-GB" w:eastAsia="zh-CN"/>
              </w:rPr>
            </m:ctrlPr>
          </m:sSubPr>
          <m:e>
            <m:r>
              <w:rPr>
                <w:rFonts w:ascii="Cambria Math" w:hAnsi="Cambria Math"/>
                <w:lang w:val="en-GB" w:eastAsia="zh-CN"/>
              </w:rPr>
              <m:t>d</m:t>
            </m:r>
            <m:ctrlPr>
              <w:rPr>
                <w:rFonts w:ascii="Cambria Math" w:hAnsi="Cambria Math"/>
                <w:i/>
                <w:lang w:val="en-GB" w:eastAsia="zh-CN"/>
              </w:rPr>
            </m:ctrlPr>
          </m:e>
          <m:sub>
            <m:r>
              <w:rPr>
                <w:rFonts w:ascii="Cambria Math" w:hAnsi="Cambria Math"/>
                <w:lang w:val="en-GB" w:eastAsia="zh-CN"/>
              </w:rPr>
              <m:t>0,1</m:t>
            </m:r>
            <m:ctrlPr>
              <w:rPr>
                <w:rFonts w:ascii="Cambria Math" w:hAnsi="Cambria Math"/>
                <w:i/>
                <w:lang w:val="en-GB" w:eastAsia="zh-CN"/>
              </w:rPr>
            </m:ctrlPr>
          </m:sub>
        </m:sSub>
      </m:oMath>
      <w:r>
        <w:rPr>
          <w:rFonts w:hint="eastAsia"/>
          <w:i/>
          <w:lang w:val="en-GB" w:eastAsia="zh-CN"/>
        </w:rPr>
        <w:t xml:space="preserve"> </w:t>
      </w:r>
      <w:r>
        <w:rPr>
          <w:i/>
          <w:color w:val="000000"/>
        </w:rPr>
        <w:t xml:space="preserve">is to reflect other factors that may have impact on </w:t>
      </w:r>
      <w:r>
        <w:rPr>
          <w:i/>
        </w:rPr>
        <w:sym w:font="Symbol" w:char="F044"/>
      </w:r>
      <w:r>
        <w:rPr>
          <w:i/>
          <w:color w:val="000000"/>
        </w:rPr>
        <w:t>..</w:t>
      </w:r>
    </w:p>
    <w:p>
      <w:pPr>
        <w:rPr>
          <w:i/>
          <w:lang w:val="en-GB" w:eastAsia="zh-CN"/>
        </w:rPr>
      </w:pPr>
      <w:r>
        <w:rPr>
          <w:b/>
          <w:i/>
        </w:rPr>
        <w:t>Proposal 5</w:t>
      </w:r>
      <w:r>
        <w:rPr>
          <w:i/>
        </w:rPr>
        <w:t xml:space="preserve">: Define a minimum K0 for PDCCH monitoring case 1-1 and define an additional offset to cater for PDCCH ending in different symbols. Thus, </w:t>
      </w:r>
      <w:r>
        <w:rPr>
          <w:i/>
        </w:rPr>
        <w:sym w:font="Symbol" w:char="F044"/>
      </w:r>
      <w:r>
        <w:rPr>
          <w:i/>
        </w:rPr>
        <w:t>=minimum K0 + Offset</w:t>
      </w:r>
      <w:r>
        <w:rPr>
          <w:i/>
          <w:vertAlign w:val="subscript"/>
        </w:rPr>
        <w:t>PDCCH</w:t>
      </w:r>
      <w:r>
        <w:rPr>
          <w:i/>
        </w:rPr>
        <w:t>.</w:t>
      </w:r>
    </w:p>
    <w:p>
      <w:pPr>
        <w:pStyle w:val="131"/>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If the scheduling timing offset is smaller than the threshold, or if tci-PresentInDCI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pPr>
        <w:pStyle w:val="131"/>
        <w:numPr>
          <w:ilvl w:val="0"/>
          <w:numId w:val="0"/>
        </w:numPr>
      </w:pPr>
      <w:r>
        <w:rPr>
          <w:rFonts w:hint="eastAsia" w:eastAsia="宋体"/>
          <w:b/>
          <w:bCs/>
          <w:lang w:eastAsia="zh-CN"/>
        </w:rPr>
        <w:t xml:space="preserve">Proposal </w:t>
      </w:r>
      <w:r>
        <w:rPr>
          <w:rFonts w:eastAsia="宋体"/>
          <w:b/>
          <w:bCs/>
          <w:lang w:eastAsia="zh-CN"/>
        </w:rPr>
        <w:t>7</w:t>
      </w:r>
      <w:r>
        <w:rPr>
          <w:rFonts w:hint="eastAsia" w:eastAsia="宋体"/>
          <w:b/>
          <w:bCs/>
          <w:lang w:eastAsia="zh-CN"/>
        </w:rPr>
        <w:t>:</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QCL-TypeD from</w:t>
      </w:r>
      <w:r>
        <w:rPr>
          <w:rFonts w:hint="eastAsia"/>
        </w:rPr>
        <w:t xml:space="preserve"> the indicated TCI state in DCI for the PDSCH.</w:t>
      </w:r>
    </w:p>
    <w:p>
      <w:pPr>
        <w:pStyle w:val="131"/>
        <w:numPr>
          <w:ilvl w:val="0"/>
          <w:numId w:val="0"/>
        </w:numPr>
        <w:rPr>
          <w:i w:val="0"/>
        </w:rPr>
      </w:pPr>
      <w:r>
        <w:rPr>
          <w:rFonts w:hint="eastAsia" w:eastAsia="宋体"/>
          <w:b/>
          <w:bCs/>
          <w:lang w:eastAsia="zh-CN"/>
        </w:rPr>
        <w:t xml:space="preserve">Proposal </w:t>
      </w:r>
      <w:r>
        <w:rPr>
          <w:rFonts w:eastAsia="宋体"/>
          <w:b/>
          <w:bCs/>
          <w:lang w:eastAsia="zh-CN"/>
        </w:rPr>
        <w:t>8</w:t>
      </w:r>
      <w:r>
        <w:rPr>
          <w:rFonts w:hint="eastAsia" w:eastAsia="宋体"/>
          <w:b/>
          <w:bCs/>
          <w:lang w:eastAsia="zh-CN"/>
        </w:rPr>
        <w:t>:</w:t>
      </w:r>
      <w:r>
        <w:rPr>
          <w:rFonts w:hint="eastAsia" w:eastAsia="宋体"/>
          <w:lang w:eastAsia="zh-CN"/>
        </w:rPr>
        <w:t xml:space="preserve"> </w:t>
      </w:r>
      <w:r>
        <w:t xml:space="preserve">Clarify in TS38.214 that </w:t>
      </w:r>
      <w:r>
        <w:rPr>
          <w:rFonts w:eastAsia="宋体"/>
          <w:lang w:eastAsia="zh-CN"/>
        </w:rPr>
        <w:t>the threshold for QCL indication via TCI in DCI corresponds to the numerology of the scheduled cell</w:t>
      </w:r>
      <w:r>
        <w:t xml:space="preserve"> for the case of cross-carrier PDSCH scheduling with mixed numerologies.</w:t>
      </w:r>
    </w:p>
    <w:p>
      <w:pPr>
        <w:pStyle w:val="2"/>
        <w:rPr>
          <w:lang w:eastAsia="zh-CN"/>
        </w:rPr>
      </w:pPr>
      <w:r>
        <w:rPr>
          <w:rFonts w:hint="eastAsia"/>
          <w:lang w:eastAsia="zh-CN"/>
        </w:rPr>
        <w:t>R</w:t>
      </w:r>
      <w:r>
        <w:rPr>
          <w:lang w:eastAsia="zh-CN"/>
        </w:rPr>
        <w:t>eference</w:t>
      </w:r>
    </w:p>
    <w:p>
      <w:pPr>
        <w:pStyle w:val="126"/>
        <w:rPr>
          <w:lang w:eastAsia="zh-CN"/>
        </w:rPr>
      </w:pPr>
      <w:bookmarkStart w:id="9" w:name="_Ref16633"/>
      <w:r>
        <w:rPr>
          <w:lang w:eastAsia="zh-CN"/>
        </w:rPr>
        <w:t>Draft_Minutes_report_RAN1#96_v020</w:t>
      </w:r>
      <w:r>
        <w:rPr>
          <w:rFonts w:hint="eastAsia"/>
          <w:lang w:eastAsia="zh-CN"/>
        </w:rPr>
        <w:t>, Athens, Greece, 25 February–1 March, 2019.</w:t>
      </w:r>
      <w:bookmarkEnd w:id="9"/>
    </w:p>
    <w:p>
      <w:pPr>
        <w:pStyle w:val="126"/>
        <w:rPr>
          <w:lang w:eastAsia="zh-CN"/>
        </w:rPr>
      </w:pPr>
      <w:bookmarkStart w:id="10" w:name="_Ref4520899"/>
      <w:r>
        <w:rPr>
          <w:lang w:eastAsia="zh-CN"/>
        </w:rPr>
        <w:t>R1-1809894, “Summary for DL/UL data scheduling maintenance”, RAN1#94, Gothenburg, Sweden, August 2018.</w:t>
      </w:r>
      <w:bookmarkEnd w:id="10"/>
    </w:p>
    <w:p>
      <w:pPr>
        <w:pStyle w:val="126"/>
        <w:rPr>
          <w:lang w:eastAsia="zh-CN"/>
        </w:rPr>
      </w:pPr>
      <w:bookmarkStart w:id="11" w:name="_Ref4521959"/>
      <w:r>
        <w:rPr>
          <w:lang w:eastAsia="zh-CN"/>
        </w:rPr>
        <w:t>RP-182866, RAN1 NR UE features_v6, Sorrento, Italy, December 10-13, 2018.</w:t>
      </w:r>
      <w:bookmarkEnd w:id="11"/>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8</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8</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65F01"/>
    <w:multiLevelType w:val="singleLevel"/>
    <w:tmpl w:val="8D965F01"/>
    <w:lvl w:ilvl="0" w:tentative="0">
      <w:start w:val="1"/>
      <w:numFmt w:val="decimal"/>
      <w:suff w:val="space"/>
      <w:lvlText w:val="%1."/>
      <w:lvlJc w:val="left"/>
    </w:lvl>
  </w:abstractNum>
  <w:abstractNum w:abstractNumId="1">
    <w:nsid w:val="02E9534F"/>
    <w:multiLevelType w:val="multilevel"/>
    <w:tmpl w:val="02E9534F"/>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55812B2"/>
    <w:multiLevelType w:val="multilevel"/>
    <w:tmpl w:val="155812B2"/>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5232BFFB"/>
    <w:multiLevelType w:val="singleLevel"/>
    <w:tmpl w:val="5232BFFB"/>
    <w:lvl w:ilvl="0" w:tentative="0">
      <w:start w:val="1"/>
      <w:numFmt w:val="bullet"/>
      <w:lvlText w:val=""/>
      <w:lvlJc w:val="left"/>
      <w:pPr>
        <w:ind w:left="420" w:hanging="420"/>
      </w:pPr>
      <w:rPr>
        <w:rFonts w:hint="default" w:ascii="Wingdings" w:hAnsi="Wingdings"/>
      </w:rPr>
    </w:lvl>
  </w:abstractNum>
  <w:abstractNum w:abstractNumId="8">
    <w:nsid w:val="5E3723EA"/>
    <w:multiLevelType w:val="multilevel"/>
    <w:tmpl w:val="5E3723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47D203E"/>
    <w:multiLevelType w:val="multilevel"/>
    <w:tmpl w:val="747D20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0"/>
  </w:num>
  <w:num w:numId="4">
    <w:abstractNumId w:val="6"/>
  </w:num>
  <w:num w:numId="5">
    <w:abstractNumId w:val="13"/>
  </w:num>
  <w:num w:numId="6">
    <w:abstractNumId w:val="9"/>
  </w:num>
  <w:num w:numId="7">
    <w:abstractNumId w:val="5"/>
  </w:num>
  <w:num w:numId="8">
    <w:abstractNumId w:val="12"/>
  </w:num>
  <w:num w:numId="9">
    <w:abstractNumId w:val="11"/>
  </w:num>
  <w:num w:numId="10">
    <w:abstractNumId w:val="0"/>
  </w:num>
  <w:num w:numId="11">
    <w:abstractNumId w:val="8"/>
  </w:num>
  <w:num w:numId="12">
    <w:abstractNumId w:val="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DC"/>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98D"/>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51C"/>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D2A"/>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D8"/>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DF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2D43"/>
    <w:rsid w:val="001738A5"/>
    <w:rsid w:val="00173A00"/>
    <w:rsid w:val="00173D38"/>
    <w:rsid w:val="001742A6"/>
    <w:rsid w:val="00174740"/>
    <w:rsid w:val="00174DDB"/>
    <w:rsid w:val="00175009"/>
    <w:rsid w:val="001752EC"/>
    <w:rsid w:val="00175A6E"/>
    <w:rsid w:val="00175B5A"/>
    <w:rsid w:val="00175CE4"/>
    <w:rsid w:val="00175EF2"/>
    <w:rsid w:val="001761AA"/>
    <w:rsid w:val="00176414"/>
    <w:rsid w:val="00176BDB"/>
    <w:rsid w:val="00176F91"/>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2E"/>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A8A"/>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C7"/>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013"/>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443"/>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27B"/>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A9F"/>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C9F"/>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6B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48F"/>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7F9"/>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EAB"/>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C04"/>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B64"/>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9C"/>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3BB"/>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2DE"/>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3F97"/>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6E85"/>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D8E"/>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96"/>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5DF"/>
    <w:rsid w:val="005E18CE"/>
    <w:rsid w:val="005E3035"/>
    <w:rsid w:val="005E35FD"/>
    <w:rsid w:val="005E383F"/>
    <w:rsid w:val="005E39B1"/>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277"/>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A43"/>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A25"/>
    <w:rsid w:val="006A3F94"/>
    <w:rsid w:val="006A40D0"/>
    <w:rsid w:val="006A4113"/>
    <w:rsid w:val="006A429E"/>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763"/>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8"/>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4EA"/>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0D3"/>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482"/>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41"/>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A92"/>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CB3"/>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A1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0D9B"/>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40E"/>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9A6"/>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69"/>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34B"/>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A8"/>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8E"/>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391"/>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1D1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ED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E7CF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1"/>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902"/>
    <w:rsid w:val="00B70A49"/>
    <w:rsid w:val="00B70EDB"/>
    <w:rsid w:val="00B71448"/>
    <w:rsid w:val="00B7160D"/>
    <w:rsid w:val="00B71A5D"/>
    <w:rsid w:val="00B7273B"/>
    <w:rsid w:val="00B727B8"/>
    <w:rsid w:val="00B7325A"/>
    <w:rsid w:val="00B73453"/>
    <w:rsid w:val="00B7349D"/>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581"/>
    <w:rsid w:val="00B96CF0"/>
    <w:rsid w:val="00B96DA2"/>
    <w:rsid w:val="00B977E6"/>
    <w:rsid w:val="00B97AD5"/>
    <w:rsid w:val="00B97E57"/>
    <w:rsid w:val="00BA067F"/>
    <w:rsid w:val="00BA0898"/>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6E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E01"/>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414"/>
    <w:rsid w:val="00C66571"/>
    <w:rsid w:val="00C66649"/>
    <w:rsid w:val="00C666DB"/>
    <w:rsid w:val="00C667F6"/>
    <w:rsid w:val="00C66B9C"/>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75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3E7C"/>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66F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8FB"/>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35D"/>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630"/>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2E"/>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4EC9"/>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1FCB"/>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92F"/>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2930"/>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381E"/>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370"/>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0B7E"/>
    <w:rsid w:val="00FB1309"/>
    <w:rsid w:val="00FB15D5"/>
    <w:rsid w:val="00FB1606"/>
    <w:rsid w:val="00FB18E8"/>
    <w:rsid w:val="00FB19D8"/>
    <w:rsid w:val="00FB22E5"/>
    <w:rsid w:val="00FB2864"/>
    <w:rsid w:val="00FB2F94"/>
    <w:rsid w:val="00FB3CD6"/>
    <w:rsid w:val="00FB4065"/>
    <w:rsid w:val="00FB4760"/>
    <w:rsid w:val="00FB47B5"/>
    <w:rsid w:val="00FB4938"/>
    <w:rsid w:val="00FB5201"/>
    <w:rsid w:val="00FB525F"/>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72F2729"/>
    <w:rsid w:val="07C21FA9"/>
    <w:rsid w:val="0957797D"/>
    <w:rsid w:val="0972706B"/>
    <w:rsid w:val="09C21BB6"/>
    <w:rsid w:val="0AFC60B7"/>
    <w:rsid w:val="0BAD7041"/>
    <w:rsid w:val="0C6F5654"/>
    <w:rsid w:val="0C9E0E0D"/>
    <w:rsid w:val="0D132BA9"/>
    <w:rsid w:val="0D660AC2"/>
    <w:rsid w:val="0E120AD5"/>
    <w:rsid w:val="0EB06FFE"/>
    <w:rsid w:val="10150A41"/>
    <w:rsid w:val="114508D3"/>
    <w:rsid w:val="1257267A"/>
    <w:rsid w:val="12A472D8"/>
    <w:rsid w:val="12FE321B"/>
    <w:rsid w:val="141F2191"/>
    <w:rsid w:val="1575AEB2"/>
    <w:rsid w:val="158D0BB2"/>
    <w:rsid w:val="164F7F6D"/>
    <w:rsid w:val="165E068A"/>
    <w:rsid w:val="1702D3F2"/>
    <w:rsid w:val="174031C6"/>
    <w:rsid w:val="188D2058"/>
    <w:rsid w:val="18BA7603"/>
    <w:rsid w:val="192204DD"/>
    <w:rsid w:val="192B740B"/>
    <w:rsid w:val="198E426D"/>
    <w:rsid w:val="1A4A77AE"/>
    <w:rsid w:val="1A514204"/>
    <w:rsid w:val="1B4D7587"/>
    <w:rsid w:val="1B5316CE"/>
    <w:rsid w:val="1B625AD4"/>
    <w:rsid w:val="1C766428"/>
    <w:rsid w:val="1DD50930"/>
    <w:rsid w:val="1DF407BB"/>
    <w:rsid w:val="1E1177E0"/>
    <w:rsid w:val="1E38003B"/>
    <w:rsid w:val="1F850095"/>
    <w:rsid w:val="1FB91CD0"/>
    <w:rsid w:val="20910CB1"/>
    <w:rsid w:val="20CD42FE"/>
    <w:rsid w:val="21035A99"/>
    <w:rsid w:val="21282288"/>
    <w:rsid w:val="231153C3"/>
    <w:rsid w:val="23680C07"/>
    <w:rsid w:val="239E142D"/>
    <w:rsid w:val="245870DE"/>
    <w:rsid w:val="247247A7"/>
    <w:rsid w:val="2473146A"/>
    <w:rsid w:val="27C5366D"/>
    <w:rsid w:val="27DD67CA"/>
    <w:rsid w:val="28690808"/>
    <w:rsid w:val="28B07E55"/>
    <w:rsid w:val="2A0F0B23"/>
    <w:rsid w:val="2AFE2B7E"/>
    <w:rsid w:val="2D376513"/>
    <w:rsid w:val="2DC863F1"/>
    <w:rsid w:val="2EB72406"/>
    <w:rsid w:val="2F2367DE"/>
    <w:rsid w:val="300C266F"/>
    <w:rsid w:val="32FE23BF"/>
    <w:rsid w:val="330E6893"/>
    <w:rsid w:val="3511129D"/>
    <w:rsid w:val="359455FE"/>
    <w:rsid w:val="36CD07B0"/>
    <w:rsid w:val="375C57D7"/>
    <w:rsid w:val="37DD651E"/>
    <w:rsid w:val="38BA113F"/>
    <w:rsid w:val="3A135075"/>
    <w:rsid w:val="3A8424B5"/>
    <w:rsid w:val="3AB31D0C"/>
    <w:rsid w:val="3B4A3B53"/>
    <w:rsid w:val="3D7642C9"/>
    <w:rsid w:val="3E7347F4"/>
    <w:rsid w:val="3EF83C43"/>
    <w:rsid w:val="3F175FC8"/>
    <w:rsid w:val="3FD010A5"/>
    <w:rsid w:val="40850DCD"/>
    <w:rsid w:val="40CD3D03"/>
    <w:rsid w:val="41AC1D9C"/>
    <w:rsid w:val="4242619A"/>
    <w:rsid w:val="42B20782"/>
    <w:rsid w:val="44917C93"/>
    <w:rsid w:val="457B4E31"/>
    <w:rsid w:val="46D41E44"/>
    <w:rsid w:val="47AE2F53"/>
    <w:rsid w:val="496938E0"/>
    <w:rsid w:val="49882B35"/>
    <w:rsid w:val="4B3872E6"/>
    <w:rsid w:val="4CA149AE"/>
    <w:rsid w:val="4DF51404"/>
    <w:rsid w:val="4E5633F4"/>
    <w:rsid w:val="4E7740D9"/>
    <w:rsid w:val="4EAC0AFF"/>
    <w:rsid w:val="4EC2021D"/>
    <w:rsid w:val="4F445BC1"/>
    <w:rsid w:val="50FD13B2"/>
    <w:rsid w:val="54CE2507"/>
    <w:rsid w:val="55181CD2"/>
    <w:rsid w:val="554E4B99"/>
    <w:rsid w:val="55D01D97"/>
    <w:rsid w:val="57244B18"/>
    <w:rsid w:val="57EF6871"/>
    <w:rsid w:val="58240039"/>
    <w:rsid w:val="595A121E"/>
    <w:rsid w:val="5AF07FF7"/>
    <w:rsid w:val="5AF422E5"/>
    <w:rsid w:val="5B910E06"/>
    <w:rsid w:val="5BF26431"/>
    <w:rsid w:val="5E780DEA"/>
    <w:rsid w:val="5F631FA8"/>
    <w:rsid w:val="65507243"/>
    <w:rsid w:val="656027FF"/>
    <w:rsid w:val="66457E51"/>
    <w:rsid w:val="691A3243"/>
    <w:rsid w:val="6A782EAA"/>
    <w:rsid w:val="6B704279"/>
    <w:rsid w:val="6BAA2591"/>
    <w:rsid w:val="6BF72FC6"/>
    <w:rsid w:val="6D020EA1"/>
    <w:rsid w:val="6E0F1211"/>
    <w:rsid w:val="6EEF5D0F"/>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577345"/>
    <w:rsid w:val="7ADB38D4"/>
    <w:rsid w:val="7DD2691C"/>
    <w:rsid w:val="7E3563A1"/>
    <w:rsid w:val="7E9326F9"/>
    <w:rsid w:val="7EE2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jpeg"/><Relationship Id="rId12" Type="http://schemas.openxmlformats.org/officeDocument/2006/relationships/image" Target="media/image6.em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AE3DF-8682-4671-BD79-0A97AC1025C9}">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Pages>
  <Words>3284</Words>
  <Characters>18725</Characters>
  <Lines>156</Lines>
  <Paragraphs>43</Paragraphs>
  <TotalTime>509</TotalTime>
  <ScaleCrop>false</ScaleCrop>
  <LinksUpToDate>false</LinksUpToDate>
  <CharactersWithSpaces>21966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2019-02-14T19:06:00Z</dcterms:created>
  <dc:creator>ZTE Corporation</dc:creator>
  <cp:lastModifiedBy>ZTE</cp:lastModifiedBy>
  <cp:lastPrinted>2018-04-07T03:05:00Z</cp:lastPrinted>
  <dcterms:modified xsi:type="dcterms:W3CDTF">2019-03-30T02:55:47Z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